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Report: Shipping and Tax Analysis</w:t>
      </w:r>
    </w:p>
    <w:p>
      <w:pPr>
        <w:pStyle w:val="Heading1"/>
      </w:pPr>
      <w:r>
        <w:t>Shipping Coverage Summary</w:t>
      </w:r>
    </w:p>
    <w:p>
      <w:r>
        <w:t>The WooCommerce store has 3 shipping zones configured: California (2 shipping methods), Domestic US (3 shipping methods), and International (1 shipping method). The Domestic US zone provides the most comprehensive coverage with three shipping options for customers in the United States. California has a dedicated zone with 2 methods, likely reflecting the high volume of orders from that state.</w:t>
      </w:r>
    </w:p>
    <w:p>
      <w:pPr>
        <w:pStyle w:val="Heading1"/>
      </w:pPr>
      <w:r>
        <w:t>Tax Structure Summary</w:t>
      </w:r>
    </w:p>
    <w:p>
      <w:r>
        <w:t>The store uses three tax classes: Standard, Reduced Rate, and Zero Rate. The Standard tax class applies rates in five states: California (8.625% and 7.25% for different localities), Florida (6.0%), New York (8.0%), Texas (6.25%), and Washington (6.5%). The Reduced Rate class has a flat 5.0% rate with no state specification. The Zero Rate class has no tax applied, suitable for exempt products.</w:t>
      </w:r>
    </w:p>
    <w:p>
      <w:pPr>
        <w:pStyle w:val="Heading1"/>
      </w:pPr>
      <w:r>
        <w:t>Recommendations</w:t>
      </w:r>
    </w:p>
    <w:p>
      <w:r>
        <w:t>1. Consider adding more shipping methods to the International zone to improve global customer experience. 2. Review whether the two California-specific Standard rates are intentional or if consolidation is possible. 3. The current tax structure is well-organized with clear class separation for standard, reduced, and zero-rated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