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Tax Compliance Report</w:t>
      </w:r>
    </w:p>
    <w:p>
      <w:r>
        <w:t>Review Date: 2026-03-07</w:t>
      </w:r>
    </w:p>
    <w:p/>
    <w:p>
      <w:pPr>
        <w:pStyle w:val="Heading2"/>
      </w:pPr>
      <w:r>
        <w:t>Overall Compliance Status</w:t>
      </w:r>
    </w:p>
    <w:p>
      <w:r>
        <w:t>This quarterly review examined 5 state-level tax rates configured in our e-commerce platform against the official rates published by the U.S. State Tax Authority. Of the 5 rates reviewed, 3 were found to be compliant (within the 0.25 percentage point threshold) and 2 were found to be non-compliant, requiring immediate corrective action.</w:t>
      </w:r>
    </w:p>
    <w:p>
      <w:pPr>
        <w:pStyle w:val="Heading2"/>
      </w:pPr>
      <w:r>
        <w:t>Discrepancies Identified</w:t>
      </w:r>
    </w:p>
    <w:p>
      <w:r>
        <w:t>Florida (FL): Our configured rate is 6.0000% but the official rate is 6.5000%. The difference of 0.5000 percentage points exceeds the compliance threshold. Florida increased its state sales tax effective January 1, 2026.</w:t>
      </w:r>
    </w:p>
    <w:p>
      <w:r>
        <w:t>New York (NY): Our configured rate is 8.0000% but the official rate is 8.8750%. The difference of 0.8750 percentage points exceeds the compliance threshold. New York raised its state sales tax effective January 1, 2026.</w:t>
      </w:r>
    </w:p>
    <w:p>
      <w:pPr>
        <w:pStyle w:val="Heading2"/>
      </w:pPr>
      <w:r>
        <w:t>Recommendations</w:t>
      </w:r>
    </w:p>
    <w:p>
      <w:r>
        <w:t>1. Immediately update the Florida state tax rate from 6.0% to 6.5% in the e-commerce platform.</w:t>
      </w:r>
    </w:p>
    <w:p>
      <w:r>
        <w:t>2. Immediately update the New York state tax rate from 8.0% to 8.875% in the e-commerce platform.</w:t>
      </w:r>
    </w:p>
    <w:p>
      <w:r>
        <w:t>3. Notify the finance team of the rate corrections and document the effective dates.</w:t>
      </w:r>
    </w:p>
    <w:p>
      <w:r>
        <w:t>4. Review historical orders from January 1, 2026 onward to assess the impact of under-collected tax in Florida and New York.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