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Commodity Price Impact Analysis Report</w:t>
      </w:r>
    </w:p>
    <w:p>
      <w:pPr>
        <w:pStyle w:val="Heading1"/>
      </w:pPr>
      <w:r>
        <w:t>Executive Summary</w:t>
      </w:r>
    </w:p>
    <w:p>
      <w:r>
        <w:t>This report analyzes the relationship between commodity price movements, particularly gold futures (GC=F), and product pricing across seven retail categories. Gold prices have been trending upward over the past 30 trading days, with the current price of approximately $5,093 per ounce exceeding the 30-day moving average of $5,040, confirming an upward trend.</w:t>
      </w:r>
    </w:p>
    <w:p>
      <w:pPr>
        <w:pStyle w:val="Heading1"/>
      </w:pPr>
      <w:r>
        <w:t>Gold Price Trend Analysis</w:t>
      </w:r>
    </w:p>
    <w:p>
      <w:r>
        <w:t>Gold futures have shown sustained upward momentum over the analysis period. The 30-day moving average has risen from approximately $4,458 to $5,040, representing a significant increase. The closing price has consistently remained above the moving average for most of the period, indicating strong bullish sentiment. This trend suggests continued upward pressure on material costs for categories that use precious metals.</w:t>
      </w:r>
    </w:p>
    <w:p>
      <w:pPr>
        <w:pStyle w:val="Heading1"/>
      </w:pPr>
      <w:r>
        <w:t>Category Exposure Analysis</w:t>
      </w:r>
    </w:p>
    <w:p>
      <w:r>
        <w:t>Among the seven product categories analyzed, Watches have the highest exposure to commodity price changes with an estimated material cost percentage of 30%, primarily driven by gold and precious metal content. Home Appliances follow at 18% material cost due to steel, copper, and aluminum components. The remaining categories (Electronics, TV &amp; Home Theater, Cameras, and Audio) have material cost percentages ranging from 12% to 13%.</w:t>
      </w:r>
    </w:p>
    <w:p>
      <w:pPr>
        <w:pStyle w:val="Heading1"/>
      </w:pPr>
      <w:r>
        <w:t>Margin Impact Assessment</w:t>
      </w:r>
    </w:p>
    <w:p>
      <w:r>
        <w:t>The Watches category faces the greatest margin pressure. With a target margin of 35% and material costs at 30% of the average product price ($60.69), rising gold prices directly threaten profitability. The current gold price exceeds the $5,000/oz threshold noted in the margin targets document as a trigger for pricing adjustments. Other categories currently meet their target margins, as their lower material cost percentages provide more buffer against commodity price fluctuations.</w:t>
      </w:r>
    </w:p>
    <w:p>
      <w:pPr>
        <w:pStyle w:val="Heading1"/>
      </w:pPr>
      <w:r>
        <w:t>Recommendations</w:t>
      </w:r>
    </w:p>
    <w:p>
      <w:r>
        <w:t>1. Immediately review pricing for the Watches category given the elevated gold price above $5,000/oz. Consider selective price increases of 3-5% on higher-end watch products. 2. Establish commodity price hedging for gold purchases to stabilize input costs for the next quarter. 3. Monitor the rare earth index (currently at 85.3, below the 100 threshold) as it affects Electronics, Cameras, and Audio categories. 4. Negotiate longer-term supplier contracts for copper-intensive categories (Audio, Home Appliances) while copper prices show seasonal softening.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