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Earnings Analysis Report</w:t>
      </w:r>
    </w:p>
    <w:p>
      <w:pPr>
        <w:pStyle w:val="Heading2"/>
      </w:pPr>
      <w:r>
        <w:t>GOOGL Annual Earnings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Revenue_B</w:t>
            </w:r>
          </w:p>
        </w:tc>
        <w:tc>
          <w:tcPr>
            <w:tcW w:type="dxa" w:w="1728"/>
          </w:tcPr>
          <w:p>
            <w:r>
              <w:t>Net_Income_B</w:t>
            </w:r>
          </w:p>
        </w:tc>
        <w:tc>
          <w:tcPr>
            <w:tcW w:type="dxa" w:w="1728"/>
          </w:tcPr>
          <w:p>
            <w:r>
              <w:t>Gross_Profit_B</w:t>
            </w:r>
          </w:p>
        </w:tc>
        <w:tc>
          <w:tcPr>
            <w:tcW w:type="dxa" w:w="1728"/>
          </w:tcPr>
          <w:p>
            <w:r>
              <w:t>Operating_Income_B</w:t>
            </w:r>
          </w:p>
        </w:tc>
      </w:tr>
      <w:tr>
        <w:tc>
          <w:tcPr>
            <w:tcW w:type="dxa" w:w="1728"/>
          </w:tcPr>
          <w:p>
            <w:r>
              <w:t>2022-12-31</w:t>
            </w:r>
          </w:p>
        </w:tc>
        <w:tc>
          <w:tcPr>
            <w:tcW w:type="dxa" w:w="1728"/>
          </w:tcPr>
          <w:p>
            <w:r>
              <w:t>282.84</w:t>
            </w:r>
          </w:p>
        </w:tc>
        <w:tc>
          <w:tcPr>
            <w:tcW w:type="dxa" w:w="1728"/>
          </w:tcPr>
          <w:p>
            <w:r>
              <w:t>59.97</w:t>
            </w:r>
          </w:p>
        </w:tc>
        <w:tc>
          <w:tcPr>
            <w:tcW w:type="dxa" w:w="1728"/>
          </w:tcPr>
          <w:p>
            <w:r>
              <w:t>156.63</w:t>
            </w:r>
          </w:p>
        </w:tc>
        <w:tc>
          <w:tcPr>
            <w:tcW w:type="dxa" w:w="1728"/>
          </w:tcPr>
          <w:p>
            <w:r>
              <w:t>74.84</w:t>
            </w:r>
          </w:p>
        </w:tc>
      </w:tr>
      <w:tr>
        <w:tc>
          <w:tcPr>
            <w:tcW w:type="dxa" w:w="1728"/>
          </w:tcPr>
          <w:p>
            <w:r>
              <w:t>2023-12-31</w:t>
            </w:r>
          </w:p>
        </w:tc>
        <w:tc>
          <w:tcPr>
            <w:tcW w:type="dxa" w:w="1728"/>
          </w:tcPr>
          <w:p>
            <w:r>
              <w:t>307.39</w:t>
            </w:r>
          </w:p>
        </w:tc>
        <w:tc>
          <w:tcPr>
            <w:tcW w:type="dxa" w:w="1728"/>
          </w:tcPr>
          <w:p>
            <w:r>
              <w:t>73.8</w:t>
            </w:r>
          </w:p>
        </w:tc>
        <w:tc>
          <w:tcPr>
            <w:tcW w:type="dxa" w:w="1728"/>
          </w:tcPr>
          <w:p>
            <w:r>
              <w:t>174.06</w:t>
            </w:r>
          </w:p>
        </w:tc>
        <w:tc>
          <w:tcPr>
            <w:tcW w:type="dxa" w:w="1728"/>
          </w:tcPr>
          <w:p>
            <w:r>
              <w:t>84.29</w:t>
            </w:r>
          </w:p>
        </w:tc>
      </w:tr>
      <w:tr>
        <w:tc>
          <w:tcPr>
            <w:tcW w:type="dxa" w:w="1728"/>
          </w:tcPr>
          <w:p>
            <w:r>
              <w:t>2024-12-31</w:t>
            </w:r>
          </w:p>
        </w:tc>
        <w:tc>
          <w:tcPr>
            <w:tcW w:type="dxa" w:w="1728"/>
          </w:tcPr>
          <w:p>
            <w:r>
              <w:t>350.02</w:t>
            </w:r>
          </w:p>
        </w:tc>
        <w:tc>
          <w:tcPr>
            <w:tcW w:type="dxa" w:w="1728"/>
          </w:tcPr>
          <w:p>
            <w:r>
              <w:t>100.12</w:t>
            </w:r>
          </w:p>
        </w:tc>
        <w:tc>
          <w:tcPr>
            <w:tcW w:type="dxa" w:w="1728"/>
          </w:tcPr>
          <w:p>
            <w:r>
              <w:t>203.71</w:t>
            </w:r>
          </w:p>
        </w:tc>
        <w:tc>
          <w:tcPr>
            <w:tcW w:type="dxa" w:w="1728"/>
          </w:tcPr>
          <w:p>
            <w:r>
              <w:t>112.39</w:t>
            </w:r>
          </w:p>
        </w:tc>
      </w:tr>
      <w:tr>
        <w:tc>
          <w:tcPr>
            <w:tcW w:type="dxa" w:w="1728"/>
          </w:tcPr>
          <w:p>
            <w:r>
              <w:t>2025-12-31</w:t>
            </w:r>
          </w:p>
        </w:tc>
        <w:tc>
          <w:tcPr>
            <w:tcW w:type="dxa" w:w="1728"/>
          </w:tcPr>
          <w:p>
            <w:r>
              <w:t>402.84</w:t>
            </w:r>
          </w:p>
        </w:tc>
        <w:tc>
          <w:tcPr>
            <w:tcW w:type="dxa" w:w="1728"/>
          </w:tcPr>
          <w:p>
            <w:r>
              <w:t>132.17</w:t>
            </w:r>
          </w:p>
        </w:tc>
        <w:tc>
          <w:tcPr>
            <w:tcW w:type="dxa" w:w="1728"/>
          </w:tcPr>
          <w:p>
            <w:r>
              <w:t>240.3</w:t>
            </w:r>
          </w:p>
        </w:tc>
        <w:tc>
          <w:tcPr>
            <w:tcW w:type="dxa" w:w="1728"/>
          </w:tcPr>
          <w:p>
            <w:r>
              <w:t>129.04</w:t>
            </w:r>
          </w:p>
        </w:tc>
      </w:tr>
    </w:tbl>
    <w:p>
      <w:pPr>
        <w:pStyle w:val="Heading2"/>
      </w:pPr>
      <w:r>
        <w:t>AMZN Annual Earnings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Revenue_B</w:t>
            </w:r>
          </w:p>
        </w:tc>
        <w:tc>
          <w:tcPr>
            <w:tcW w:type="dxa" w:w="1728"/>
          </w:tcPr>
          <w:p>
            <w:r>
              <w:t>Net_Income_B</w:t>
            </w:r>
          </w:p>
        </w:tc>
        <w:tc>
          <w:tcPr>
            <w:tcW w:type="dxa" w:w="1728"/>
          </w:tcPr>
          <w:p>
            <w:r>
              <w:t>Gross_Profit_B</w:t>
            </w:r>
          </w:p>
        </w:tc>
        <w:tc>
          <w:tcPr>
            <w:tcW w:type="dxa" w:w="1728"/>
          </w:tcPr>
          <w:p>
            <w:r>
              <w:t>Operating_Income_B</w:t>
            </w:r>
          </w:p>
        </w:tc>
      </w:tr>
      <w:tr>
        <w:tc>
          <w:tcPr>
            <w:tcW w:type="dxa" w:w="1728"/>
          </w:tcPr>
          <w:p>
            <w:r>
              <w:t>2022-12-31</w:t>
            </w:r>
          </w:p>
        </w:tc>
        <w:tc>
          <w:tcPr>
            <w:tcW w:type="dxa" w:w="1728"/>
          </w:tcPr>
          <w:p>
            <w:r>
              <w:t>513.98</w:t>
            </w:r>
          </w:p>
        </w:tc>
        <w:tc>
          <w:tcPr>
            <w:tcW w:type="dxa" w:w="1728"/>
          </w:tcPr>
          <w:p>
            <w:r>
              <w:t>-2.72</w:t>
            </w:r>
          </w:p>
        </w:tc>
        <w:tc>
          <w:tcPr>
            <w:tcW w:type="dxa" w:w="1728"/>
          </w:tcPr>
          <w:p>
            <w:r>
              <w:t>225.15</w:t>
            </w:r>
          </w:p>
        </w:tc>
        <w:tc>
          <w:tcPr>
            <w:tcW w:type="dxa" w:w="1728"/>
          </w:tcPr>
          <w:p>
            <w:r>
              <w:t>12.25</w:t>
            </w:r>
          </w:p>
        </w:tc>
      </w:tr>
      <w:tr>
        <w:tc>
          <w:tcPr>
            <w:tcW w:type="dxa" w:w="1728"/>
          </w:tcPr>
          <w:p>
            <w:r>
              <w:t>2023-12-31</w:t>
            </w:r>
          </w:p>
        </w:tc>
        <w:tc>
          <w:tcPr>
            <w:tcW w:type="dxa" w:w="1728"/>
          </w:tcPr>
          <w:p>
            <w:r>
              <w:t>574.78</w:t>
            </w:r>
          </w:p>
        </w:tc>
        <w:tc>
          <w:tcPr>
            <w:tcW w:type="dxa" w:w="1728"/>
          </w:tcPr>
          <w:p>
            <w:r>
              <w:t>30.43</w:t>
            </w:r>
          </w:p>
        </w:tc>
        <w:tc>
          <w:tcPr>
            <w:tcW w:type="dxa" w:w="1728"/>
          </w:tcPr>
          <w:p>
            <w:r>
              <w:t>270.05</w:t>
            </w:r>
          </w:p>
        </w:tc>
        <w:tc>
          <w:tcPr>
            <w:tcW w:type="dxa" w:w="1728"/>
          </w:tcPr>
          <w:p>
            <w:r>
              <w:t>36.85</w:t>
            </w:r>
          </w:p>
        </w:tc>
      </w:tr>
      <w:tr>
        <w:tc>
          <w:tcPr>
            <w:tcW w:type="dxa" w:w="1728"/>
          </w:tcPr>
          <w:p>
            <w:r>
              <w:t>2024-12-31</w:t>
            </w:r>
          </w:p>
        </w:tc>
        <w:tc>
          <w:tcPr>
            <w:tcW w:type="dxa" w:w="1728"/>
          </w:tcPr>
          <w:p>
            <w:r>
              <w:t>637.96</w:t>
            </w:r>
          </w:p>
        </w:tc>
        <w:tc>
          <w:tcPr>
            <w:tcW w:type="dxa" w:w="1728"/>
          </w:tcPr>
          <w:p>
            <w:r>
              <w:t>59.25</w:t>
            </w:r>
          </w:p>
        </w:tc>
        <w:tc>
          <w:tcPr>
            <w:tcW w:type="dxa" w:w="1728"/>
          </w:tcPr>
          <w:p>
            <w:r>
              <w:t>311.67</w:t>
            </w:r>
          </w:p>
        </w:tc>
        <w:tc>
          <w:tcPr>
            <w:tcW w:type="dxa" w:w="1728"/>
          </w:tcPr>
          <w:p>
            <w:r>
              <w:t>68.59</w:t>
            </w:r>
          </w:p>
        </w:tc>
      </w:tr>
      <w:tr>
        <w:tc>
          <w:tcPr>
            <w:tcW w:type="dxa" w:w="1728"/>
          </w:tcPr>
          <w:p>
            <w:r>
              <w:t>2025-12-31</w:t>
            </w:r>
          </w:p>
        </w:tc>
        <w:tc>
          <w:tcPr>
            <w:tcW w:type="dxa" w:w="1728"/>
          </w:tcPr>
          <w:p>
            <w:r>
              <w:t>716.92</w:t>
            </w:r>
          </w:p>
        </w:tc>
        <w:tc>
          <w:tcPr>
            <w:tcW w:type="dxa" w:w="1728"/>
          </w:tcPr>
          <w:p>
            <w:r>
              <w:t>77.67</w:t>
            </w:r>
          </w:p>
        </w:tc>
        <w:tc>
          <w:tcPr>
            <w:tcW w:type="dxa" w:w="1728"/>
          </w:tcPr>
          <w:p>
            <w:r>
              <w:t>360.51</w:t>
            </w:r>
          </w:p>
        </w:tc>
        <w:tc>
          <w:tcPr>
            <w:tcW w:type="dxa" w:w="1728"/>
          </w:tcPr>
          <w:p>
            <w:r>
              <w:t>79.97</w:t>
            </w:r>
          </w:p>
        </w:tc>
      </w:tr>
    </w:tbl>
    <w:p>
      <w:pPr>
        <w:pStyle w:val="Heading2"/>
      </w:pPr>
      <w:r>
        <w:t>JNJ Annual Earnings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Revenue_B</w:t>
            </w:r>
          </w:p>
        </w:tc>
        <w:tc>
          <w:tcPr>
            <w:tcW w:type="dxa" w:w="1728"/>
          </w:tcPr>
          <w:p>
            <w:r>
              <w:t>Net_Income_B</w:t>
            </w:r>
          </w:p>
        </w:tc>
        <w:tc>
          <w:tcPr>
            <w:tcW w:type="dxa" w:w="1728"/>
          </w:tcPr>
          <w:p>
            <w:r>
              <w:t>Gross_Profit_B</w:t>
            </w:r>
          </w:p>
        </w:tc>
        <w:tc>
          <w:tcPr>
            <w:tcW w:type="dxa" w:w="1728"/>
          </w:tcPr>
          <w:p>
            <w:r>
              <w:t>Operating_Income_B</w:t>
            </w:r>
          </w:p>
        </w:tc>
      </w:tr>
      <w:tr>
        <w:tc>
          <w:tcPr>
            <w:tcW w:type="dxa" w:w="1728"/>
          </w:tcPr>
          <w:p>
            <w:r>
              <w:t>2022-12-31</w:t>
            </w:r>
          </w:p>
        </w:tc>
        <w:tc>
          <w:tcPr>
            <w:tcW w:type="dxa" w:w="1728"/>
          </w:tcPr>
          <w:p>
            <w:r>
              <w:t>79.99</w:t>
            </w:r>
          </w:p>
        </w:tc>
        <w:tc>
          <w:tcPr>
            <w:tcW w:type="dxa" w:w="1728"/>
          </w:tcPr>
          <w:p>
            <w:r>
              <w:t>17.94</w:t>
            </w:r>
          </w:p>
        </w:tc>
        <w:tc>
          <w:tcPr>
            <w:tcW w:type="dxa" w:w="1728"/>
          </w:tcPr>
          <w:p>
            <w:r>
              <w:t>55.39</w:t>
            </w:r>
          </w:p>
        </w:tc>
        <w:tc>
          <w:tcPr>
            <w:tcW w:type="dxa" w:w="1728"/>
          </w:tcPr>
          <w:p>
            <w:r>
              <w:t>21.01</w:t>
            </w:r>
          </w:p>
        </w:tc>
      </w:tr>
      <w:tr>
        <w:tc>
          <w:tcPr>
            <w:tcW w:type="dxa" w:w="1728"/>
          </w:tcPr>
          <w:p>
            <w:r>
              <w:t>2023-12-31</w:t>
            </w:r>
          </w:p>
        </w:tc>
        <w:tc>
          <w:tcPr>
            <w:tcW w:type="dxa" w:w="1728"/>
          </w:tcPr>
          <w:p>
            <w:r>
              <w:t>85.16</w:t>
            </w:r>
          </w:p>
        </w:tc>
        <w:tc>
          <w:tcPr>
            <w:tcW w:type="dxa" w:w="1728"/>
          </w:tcPr>
          <w:p>
            <w:r>
              <w:t>35.15</w:t>
            </w:r>
          </w:p>
        </w:tc>
        <w:tc>
          <w:tcPr>
            <w:tcW w:type="dxa" w:w="1728"/>
          </w:tcPr>
          <w:p>
            <w:r>
              <w:t>58.61</w:t>
            </w:r>
          </w:p>
        </w:tc>
        <w:tc>
          <w:tcPr>
            <w:tcW w:type="dxa" w:w="1728"/>
          </w:tcPr>
          <w:p>
            <w:r>
              <w:t>22.01</w:t>
            </w:r>
          </w:p>
        </w:tc>
      </w:tr>
      <w:tr>
        <w:tc>
          <w:tcPr>
            <w:tcW w:type="dxa" w:w="1728"/>
          </w:tcPr>
          <w:p>
            <w:r>
              <w:t>2024-12-31</w:t>
            </w:r>
          </w:p>
        </w:tc>
        <w:tc>
          <w:tcPr>
            <w:tcW w:type="dxa" w:w="1728"/>
          </w:tcPr>
          <w:p>
            <w:r>
              <w:t>88.82</w:t>
            </w:r>
          </w:p>
        </w:tc>
        <w:tc>
          <w:tcPr>
            <w:tcW w:type="dxa" w:w="1728"/>
          </w:tcPr>
          <w:p>
            <w:r>
              <w:t>14.07</w:t>
            </w:r>
          </w:p>
        </w:tc>
        <w:tc>
          <w:tcPr>
            <w:tcW w:type="dxa" w:w="1728"/>
          </w:tcPr>
          <w:p>
            <w:r>
              <w:t>61.35</w:t>
            </w:r>
          </w:p>
        </w:tc>
        <w:tc>
          <w:tcPr>
            <w:tcW w:type="dxa" w:w="1728"/>
          </w:tcPr>
          <w:p>
            <w:r>
              <w:t>21.25</w:t>
            </w:r>
          </w:p>
        </w:tc>
      </w:tr>
      <w:tr>
        <w:tc>
          <w:tcPr>
            <w:tcW w:type="dxa" w:w="1728"/>
          </w:tcPr>
          <w:p>
            <w:r>
              <w:t>2025-12-31</w:t>
            </w:r>
          </w:p>
        </w:tc>
        <w:tc>
          <w:tcPr>
            <w:tcW w:type="dxa" w:w="1728"/>
          </w:tcPr>
          <w:p>
            <w:r>
              <w:t>94.19</w:t>
            </w:r>
          </w:p>
        </w:tc>
        <w:tc>
          <w:tcPr>
            <w:tcW w:type="dxa" w:w="1728"/>
          </w:tcPr>
          <w:p>
            <w:r>
              <w:t>26.8</w:t>
            </w:r>
          </w:p>
        </w:tc>
        <w:tc>
          <w:tcPr>
            <w:tcW w:type="dxa" w:w="1728"/>
          </w:tcPr>
          <w:p>
            <w:r>
              <w:t>63.94</w:t>
            </w:r>
          </w:p>
        </w:tc>
        <w:tc>
          <w:tcPr>
            <w:tcW w:type="dxa" w:w="1728"/>
          </w:tcPr>
          <w:p>
            <w:r>
              <w:t>25.6</w:t>
            </w:r>
          </w:p>
        </w:tc>
      </w:tr>
    </w:tbl>
    <w:p>
      <w:r>
        <w:t>GOOGL reported revenue of 402.84B and net income of 132.17B for the latest fiscal year. AMZN reported revenue of 716.92B and net income of 77.67B for the latest fiscal year. JNJ reported revenue of 94.19B and net income of 26.8B for the latest fiscal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