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2026 Macro Investment Report</w:t>
      </w:r>
    </w:p>
    <w:p>
      <w:pPr>
        <w:pStyle w:val="Heading1"/>
      </w:pPr>
      <w:r>
        <w:t>Macroeconomic Environment</w:t>
      </w:r>
    </w:p>
    <w:p>
      <w:r>
        <w:t>The current macroeconomic landscape presents a mixed picture. The 10-year Treasury yield stands at 4.25%, while the federal funds rate remains elevated at 5.25%, reflecting restrictive monetary policy. CPI inflation at 3.1% year-over-year indicates persistent inflationary pressure. GDP grew 2.8% in Q4, unemployment is low at 3.7%, and the VIX at 18.3 suggests relatively calm markets. The S&amp;P 500 PE ratio of 22.5 sits above the historical average.</w:t>
      </w:r>
    </w:p>
    <w:p>
      <w:pPr>
        <w:pStyle w:val="Heading1"/>
      </w:pPr>
      <w:r>
        <w:t>Portfolio Performance (90-Day)</w:t>
      </w:r>
    </w:p>
    <w:p>
      <w:r>
        <w:t>AMZN (Amazon.com, Inc.): -4.61% return over 90 days. Current price: $218.94.</w:t>
      </w:r>
    </w:p>
    <w:p>
      <w:r>
        <w:t>GOOGL (Alphabet Inc.): -6.29% return over 90 days. Current price: $300.88.</w:t>
      </w:r>
    </w:p>
    <w:p>
      <w:r>
        <w:t>JNJ (Johnson &amp; Johnson): 19.3% return over 90 days. Current price: $239.63.</w:t>
      </w:r>
    </w:p>
    <w:p>
      <w:r>
        <w:t>JPM (JP Morgan Chase &amp; Co.): -6.4% return over 90 days. Current price: $293.55.</w:t>
      </w:r>
    </w:p>
    <w:p>
      <w:r>
        <w:t>XOM (Exxon Mobil Corporation): 30.22% return over 90 days. Current price: $150.76.</w:t>
      </w:r>
    </w:p>
    <w:p>
      <w:pPr>
        <w:pStyle w:val="Heading1"/>
      </w:pPr>
      <w:r>
        <w:t>Sector Commentary</w:t>
      </w:r>
    </w:p>
    <w:p>
      <w:r>
        <w:t>Communication Services (GOOGL): High interest rates at 4.25% on the 10-year create valuation headwinds for growth-oriented names. The elevated PE of 27.81 is sensitive to rate movements.</w:t>
      </w:r>
    </w:p>
    <w:p>
      <w:r>
        <w:t>Consumer Cyclical (AMZN): Consumer spending may face pressure from tight monetary policy with fed funds at 5.25%. However, low unemployment at 3.7% supports consumer confidence.</w:t>
      </w:r>
    </w:p>
    <w:p>
      <w:r>
        <w:t>Financial Services (JPM): Banks benefit from higher interest rates through improved net interest margins. The 10-year at 4.25% supports profitability, though credit risk increases if rates remain restrictive.</w:t>
      </w:r>
    </w:p>
    <w:p>
      <w:r>
        <w:t>Healthcare (JNJ): Defensive sector with stable demand regardless of economic cycle. Strong 90-day performance of 19.30% reflects flight to quality.</w:t>
      </w:r>
    </w:p>
    <w:p>
      <w:r>
        <w:t>Energy (XOM): Energy stocks benefited from inflationary environment with CPI at 3.1%. The sector's strong 30.22% 90-day return reflects commodity strength.</w:t>
      </w:r>
    </w:p>
    <w:p>
      <w:pPr>
        <w:pStyle w:val="Heading1"/>
      </w:pPr>
      <w:r>
        <w:t>Investment Outlook</w:t>
      </w:r>
    </w:p>
    <w:p>
      <w:r>
        <w:t>Three of seven macro indicators signal caution (high yields, restrictive rates, inflation). We maintain our diversified approach while noting the shift in leadership toward defensive and commodity-linked sectors. Growth names may face continued pressure until rate cuts materialize.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