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Analysis Report</w:t>
      </w:r>
    </w:p>
    <w:p>
      <w:pPr>
        <w:pStyle w:val="Heading1"/>
      </w:pPr>
      <w:r>
        <w:t>Holdings Overview</w:t>
      </w:r>
    </w:p>
    <w:p>
      <w:r>
        <w:t>The following table summarizes current portfolio holdings as of March 2026.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Symbol</w:t>
            </w:r>
          </w:p>
        </w:tc>
        <w:tc>
          <w:tcPr>
            <w:tcW w:type="dxa" w:w="1234"/>
          </w:tcPr>
          <w:p>
            <w:r>
              <w:t>Company</w:t>
            </w:r>
          </w:p>
        </w:tc>
        <w:tc>
          <w:tcPr>
            <w:tcW w:type="dxa" w:w="1234"/>
          </w:tcPr>
          <w:p>
            <w:r>
              <w:t>Sector</w:t>
            </w:r>
          </w:p>
        </w:tc>
        <w:tc>
          <w:tcPr>
            <w:tcW w:type="dxa" w:w="1234"/>
          </w:tcPr>
          <w:p>
            <w:r>
              <w:t>Quantity</w:t>
            </w:r>
          </w:p>
        </w:tc>
        <w:tc>
          <w:tcPr>
            <w:tcW w:type="dxa" w:w="1234"/>
          </w:tcPr>
          <w:p>
            <w:r>
              <w:t>Current Price</w:t>
            </w:r>
          </w:p>
        </w:tc>
        <w:tc>
          <w:tcPr>
            <w:tcW w:type="dxa" w:w="1234"/>
          </w:tcPr>
          <w:p>
            <w:r>
              <w:t>Current Value</w:t>
            </w:r>
          </w:p>
        </w:tc>
        <w:tc>
          <w:tcPr>
            <w:tcW w:type="dxa" w:w="1234"/>
          </w:tcPr>
          <w:p>
            <w:r>
              <w:t>30d Return %</w:t>
            </w:r>
          </w:p>
        </w:tc>
      </w:tr>
      <w:tr>
        <w:tc>
          <w:tcPr>
            <w:tcW w:type="dxa" w:w="1234"/>
          </w:tcPr>
          <w:p>
            <w:r>
              <w:t>GOOGL</w:t>
            </w:r>
          </w:p>
        </w:tc>
        <w:tc>
          <w:tcPr>
            <w:tcW w:type="dxa" w:w="1234"/>
          </w:tcPr>
          <w:p>
            <w:r>
              <w:t>Alphabet Inc.</w:t>
            </w:r>
          </w:p>
        </w:tc>
        <w:tc>
          <w:tcPr>
            <w:tcW w:type="dxa" w:w="1234"/>
          </w:tcPr>
          <w:p>
            <w:r>
              <w:t>Comm. Services</w:t>
            </w:r>
          </w:p>
        </w:tc>
        <w:tc>
          <w:tcPr>
            <w:tcW w:type="dxa" w:w="1234"/>
          </w:tcPr>
          <w:p>
            <w:r>
              <w:t>50</w:t>
            </w:r>
          </w:p>
        </w:tc>
        <w:tc>
          <w:tcPr>
            <w:tcW w:type="dxa" w:w="1234"/>
          </w:tcPr>
          <w:p>
            <w:r>
              <w:t>$300.88</w:t>
            </w:r>
          </w:p>
        </w:tc>
        <w:tc>
          <w:tcPr>
            <w:tcW w:type="dxa" w:w="1234"/>
          </w:tcPr>
          <w:p>
            <w:r>
              <w:t>$15,044.00</w:t>
            </w:r>
          </w:p>
        </w:tc>
        <w:tc>
          <w:tcPr>
            <w:tcW w:type="dxa" w:w="1234"/>
          </w:tcPr>
          <w:p>
            <w:r>
              <w:t>-11.43%</w:t>
            </w:r>
          </w:p>
        </w:tc>
      </w:tr>
      <w:tr>
        <w:tc>
          <w:tcPr>
            <w:tcW w:type="dxa" w:w="1234"/>
          </w:tcPr>
          <w:p>
            <w:r>
              <w:t>AMZN</w:t>
            </w:r>
          </w:p>
        </w:tc>
        <w:tc>
          <w:tcPr>
            <w:tcW w:type="dxa" w:w="1234"/>
          </w:tcPr>
          <w:p>
            <w:r>
              <w:t>Amazon.com Inc.</w:t>
            </w:r>
          </w:p>
        </w:tc>
        <w:tc>
          <w:tcPr>
            <w:tcW w:type="dxa" w:w="1234"/>
          </w:tcPr>
          <w:p>
            <w:r>
              <w:t>Consumer Cyclical</w:t>
            </w:r>
          </w:p>
        </w:tc>
        <w:tc>
          <w:tcPr>
            <w:tcW w:type="dxa" w:w="1234"/>
          </w:tcPr>
          <w:p>
            <w:r>
              <w:t>30</w:t>
            </w:r>
          </w:p>
        </w:tc>
        <w:tc>
          <w:tcPr>
            <w:tcW w:type="dxa" w:w="1234"/>
          </w:tcPr>
          <w:p>
            <w:r>
              <w:t>$218.94</w:t>
            </w:r>
          </w:p>
        </w:tc>
        <w:tc>
          <w:tcPr>
            <w:tcW w:type="dxa" w:w="1234"/>
          </w:tcPr>
          <w:p>
            <w:r>
              <w:t>$6,568.20</w:t>
            </w:r>
          </w:p>
        </w:tc>
        <w:tc>
          <w:tcPr>
            <w:tcW w:type="dxa" w:w="1234"/>
          </w:tcPr>
          <w:p>
            <w:r>
              <w:t>-8.25%</w:t>
            </w:r>
          </w:p>
        </w:tc>
      </w:tr>
      <w:tr>
        <w:tc>
          <w:tcPr>
            <w:tcW w:type="dxa" w:w="1234"/>
          </w:tcPr>
          <w:p>
            <w:r>
              <w:t>JPM</w:t>
            </w:r>
          </w:p>
        </w:tc>
        <w:tc>
          <w:tcPr>
            <w:tcW w:type="dxa" w:w="1234"/>
          </w:tcPr>
          <w:p>
            <w:r>
              <w:t>JP Morgan Chase</w:t>
            </w:r>
          </w:p>
        </w:tc>
        <w:tc>
          <w:tcPr>
            <w:tcW w:type="dxa" w:w="1234"/>
          </w:tcPr>
          <w:p>
            <w:r>
              <w:t>Financial Services</w:t>
            </w:r>
          </w:p>
        </w:tc>
        <w:tc>
          <w:tcPr>
            <w:tcW w:type="dxa" w:w="1234"/>
          </w:tcPr>
          <w:p>
            <w:r>
              <w:t>100</w:t>
            </w:r>
          </w:p>
        </w:tc>
        <w:tc>
          <w:tcPr>
            <w:tcW w:type="dxa" w:w="1234"/>
          </w:tcPr>
          <w:p>
            <w:r>
              <w:t>$293.55</w:t>
            </w:r>
          </w:p>
        </w:tc>
        <w:tc>
          <w:tcPr>
            <w:tcW w:type="dxa" w:w="1234"/>
          </w:tcPr>
          <w:p>
            <w:r>
              <w:t>$29,355.00</w:t>
            </w:r>
          </w:p>
        </w:tc>
        <w:tc>
          <w:tcPr>
            <w:tcW w:type="dxa" w:w="1234"/>
          </w:tcPr>
          <w:p>
            <w:r>
              <w:t>-6.77%</w:t>
            </w:r>
          </w:p>
        </w:tc>
      </w:tr>
      <w:tr>
        <w:tc>
          <w:tcPr>
            <w:tcW w:type="dxa" w:w="1234"/>
          </w:tcPr>
          <w:p>
            <w:r>
              <w:t>JNJ</w:t>
            </w:r>
          </w:p>
        </w:tc>
        <w:tc>
          <w:tcPr>
            <w:tcW w:type="dxa" w:w="1234"/>
          </w:tcPr>
          <w:p>
            <w:r>
              <w:t>Johnson &amp; Johnson</w:t>
            </w:r>
          </w:p>
        </w:tc>
        <w:tc>
          <w:tcPr>
            <w:tcW w:type="dxa" w:w="1234"/>
          </w:tcPr>
          <w:p>
            <w:r>
              <w:t>Healthcare</w:t>
            </w:r>
          </w:p>
        </w:tc>
        <w:tc>
          <w:tcPr>
            <w:tcW w:type="dxa" w:w="1234"/>
          </w:tcPr>
          <w:p>
            <w:r>
              <w:t>75</w:t>
            </w:r>
          </w:p>
        </w:tc>
        <w:tc>
          <w:tcPr>
            <w:tcW w:type="dxa" w:w="1234"/>
          </w:tcPr>
          <w:p>
            <w:r>
              <w:t>$239.63</w:t>
            </w:r>
          </w:p>
        </w:tc>
        <w:tc>
          <w:tcPr>
            <w:tcW w:type="dxa" w:w="1234"/>
          </w:tcPr>
          <w:p>
            <w:r>
              <w:t>$17,972.25</w:t>
            </w:r>
          </w:p>
        </w:tc>
        <w:tc>
          <w:tcPr>
            <w:tcW w:type="dxa" w:w="1234"/>
          </w:tcPr>
          <w:p>
            <w:r>
              <w:t>3.35%</w:t>
            </w:r>
          </w:p>
        </w:tc>
      </w:tr>
      <w:tr>
        <w:tc>
          <w:tcPr>
            <w:tcW w:type="dxa" w:w="1234"/>
          </w:tcPr>
          <w:p>
            <w:r>
              <w:t>XOM</w:t>
            </w:r>
          </w:p>
        </w:tc>
        <w:tc>
          <w:tcPr>
            <w:tcW w:type="dxa" w:w="1234"/>
          </w:tcPr>
          <w:p>
            <w:r>
              <w:t>Exxon Mobil Corp.</w:t>
            </w:r>
          </w:p>
        </w:tc>
        <w:tc>
          <w:tcPr>
            <w:tcW w:type="dxa" w:w="1234"/>
          </w:tcPr>
          <w:p>
            <w:r>
              <w:t>Energy</w:t>
            </w:r>
          </w:p>
        </w:tc>
        <w:tc>
          <w:tcPr>
            <w:tcW w:type="dxa" w:w="1234"/>
          </w:tcPr>
          <w:p>
            <w:r>
              <w:t>120</w:t>
            </w:r>
          </w:p>
        </w:tc>
        <w:tc>
          <w:tcPr>
            <w:tcW w:type="dxa" w:w="1234"/>
          </w:tcPr>
          <w:p>
            <w:r>
              <w:t>$150.76</w:t>
            </w:r>
          </w:p>
        </w:tc>
        <w:tc>
          <w:tcPr>
            <w:tcW w:type="dxa" w:w="1234"/>
          </w:tcPr>
          <w:p>
            <w:r>
              <w:t>$18,091.20</w:t>
            </w:r>
          </w:p>
        </w:tc>
        <w:tc>
          <w:tcPr>
            <w:tcW w:type="dxa" w:w="1234"/>
          </w:tcPr>
          <w:p>
            <w:r>
              <w:t>5.59%</w:t>
            </w:r>
          </w:p>
        </w:tc>
      </w:tr>
    </w:tbl>
    <w:p/>
    <w:p>
      <w:pPr>
        <w:pStyle w:val="Heading1"/>
      </w:pPr>
      <w:r>
        <w:t>Performance Analysis</w:t>
      </w:r>
    </w:p>
    <w:p>
      <w:r>
        <w:t>The total portfolio value is $87,030.65. The best performer over the past 30 days was XOM (Exxon Mobil Corporation) with a return of +5.59%, driven by favorable energy market conditions. JNJ (Johnson &amp; Johnson) also showed positive momentum with a 30-day return of +3.35%. The worst performer was GOOGL (Alphabet Inc.) with a 30-day return of -11.43%, followed by AMZN at -8.25% and JPM at -6.77%.</w:t>
      </w:r>
    </w:p>
    <w:p>
      <w:pPr>
        <w:pStyle w:val="Heading1"/>
      </w:pPr>
      <w:r>
        <w:t>Recommendations</w:t>
      </w:r>
    </w:p>
    <w:p>
      <w:r>
        <w:t>Given the recent outperformance of energy and healthcare sectors, the committee may wish to review the allocation targets for XOM and JNJ. The communication services and consumer cyclical positions have underperformed over the past 30 days and warrant monitoring for potential rebalancing opportunities. It is recommended to maintain current positions while awaiting the next quarterly earnings cycle before making material allocation changes. The portfolio remains well-diversified across five distinct sectors.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