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Sector Outlook Narrative Report</w:t>
      </w:r>
    </w:p>
    <w:p>
      <w:pPr>
        <w:pStyle w:val="Heading1"/>
      </w:pPr>
      <w:r>
        <w:t>Technology Sector</w:t>
      </w:r>
    </w:p>
    <w:p>
      <w:r>
        <w:t>Outlook: Positive. Growth forecast: 12.5%. Risk level: Moderate. GOOGL (Alphabet) returned 74.57% over the past year, while AMZN (Amazon) returned 5.08%. The technology sector continues to benefit from AI-driven demand and cloud computing growth. The divergence between GOOGL and AMZN suggests stock-specific factors are at play despite the positive sector backdrop.</w:t>
      </w:r>
    </w:p>
    <w:p>
      <w:pPr>
        <w:pStyle w:val="Heading1"/>
      </w:pPr>
      <w:r>
        <w:t>Financial Services Sector</w:t>
      </w:r>
    </w:p>
    <w:p>
      <w:r>
        <w:t>Outlook: Positive. Growth forecast: 8.0%. Risk level: Moderate. JPM (JP Morgan Chase) returned 19.10% over the past year. Financial services benefit from higher interest rate margins and strong capital markets activity.</w:t>
      </w:r>
    </w:p>
    <w:p>
      <w:pPr>
        <w:pStyle w:val="Heading1"/>
      </w:pPr>
      <w:r>
        <w:t>Healthcare Sector</w:t>
      </w:r>
    </w:p>
    <w:p>
      <w:r>
        <w:t>Outlook: Neutral. Growth forecast: 5.0%. Risk level: Low. JNJ (Johnson &amp; Johnson) returned 49.17% over the past year, significantly outperforming the neutral sector outlook. The low risk level makes healthcare a defensive anchor.</w:t>
      </w:r>
    </w:p>
    <w:p>
      <w:pPr>
        <w:pStyle w:val="Heading1"/>
      </w:pPr>
      <w:r>
        <w:t>Energy Sector</w:t>
      </w:r>
    </w:p>
    <w:p>
      <w:r>
        <w:t>Outlook: Cautious. Growth forecast: 3.0%. Risk level: High. XOM (Exxon Mobil) returned 47.89% over the past year, outperforming the cautious outlook. However, the high risk classification warrants careful position sizing.</w:t>
      </w:r>
    </w:p>
    <w:p>
      <w:pPr>
        <w:pStyle w:val="Heading1"/>
      </w:pPr>
      <w:r>
        <w:t>Conclusion and Recommendations</w:t>
      </w:r>
    </w:p>
    <w:p>
      <w:r>
        <w:t>The average one-year return across the portfolio is 39.16%. Three of five holdings map to sectors with positive outlooks (Technology and Financial Services). Healthcare provides stability with low risk despite a neutral outlook. Energy remains the highest risk sector. We recommend maintaining technology overweight given the positive outlook and strong GOOGL performance, while monitoring energy exposure closely due to the cautious outlook and high risk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