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Stock Comparison Report</w:t>
      </w:r>
    </w:p>
    <w:p>
      <w:pPr>
        <w:pStyle w:val="Heading1"/>
      </w:pPr>
      <w:r>
        <w:t>Stock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Symbol</w:t>
            </w:r>
          </w:p>
        </w:tc>
        <w:tc>
          <w:tcPr>
            <w:tcW w:type="dxa" w:w="1728"/>
          </w:tcPr>
          <w:p>
            <w:r>
              <w:t>Company_Name</w:t>
            </w:r>
          </w:p>
        </w:tc>
        <w:tc>
          <w:tcPr>
            <w:tcW w:type="dxa" w:w="1728"/>
          </w:tcPr>
          <w:p>
            <w:r>
              <w:t>Current_Price</w:t>
            </w:r>
          </w:p>
        </w:tc>
        <w:tc>
          <w:tcPr>
            <w:tcW w:type="dxa" w:w="1728"/>
          </w:tcPr>
          <w:p>
            <w:r>
              <w:t>Analyst_Recommendation</w:t>
            </w:r>
          </w:p>
        </w:tc>
        <w:tc>
          <w:tcPr>
            <w:tcW w:type="dxa" w:w="1728"/>
          </w:tcPr>
          <w:p>
            <w:r>
              <w:t>Sector</w:t>
            </w:r>
          </w:p>
        </w:tc>
      </w:tr>
      <w:tr>
        <w:tc>
          <w:tcPr>
            <w:tcW w:type="dxa" w:w="1728"/>
          </w:tcPr>
          <w:p>
            <w:r>
              <w:t>GOOGL</w:t>
            </w:r>
          </w:p>
        </w:tc>
        <w:tc>
          <w:tcPr>
            <w:tcW w:type="dxa" w:w="1728"/>
          </w:tcPr>
          <w:p>
            <w:r>
              <w:t>Alphabet Inc.</w:t>
            </w:r>
          </w:p>
        </w:tc>
        <w:tc>
          <w:tcPr>
            <w:tcW w:type="dxa" w:w="1728"/>
          </w:tcPr>
          <w:p>
            <w:r>
              <w:t>300.88</w:t>
            </w:r>
          </w:p>
        </w:tc>
        <w:tc>
          <w:tcPr>
            <w:tcW w:type="dxa" w:w="1728"/>
          </w:tcPr>
          <w:p>
            <w:r>
              <w:t>strong_buy</w:t>
            </w:r>
          </w:p>
        </w:tc>
        <w:tc>
          <w:tcPr>
            <w:tcW w:type="dxa" w:w="1728"/>
          </w:tcPr>
          <w:p>
            <w:r>
              <w:t>Communication Services</w:t>
            </w:r>
          </w:p>
        </w:tc>
      </w:tr>
      <w:tr>
        <w:tc>
          <w:tcPr>
            <w:tcW w:type="dxa" w:w="1728"/>
          </w:tcPr>
          <w:p>
            <w:r>
              <w:t>AMZN</w:t>
            </w:r>
          </w:p>
        </w:tc>
        <w:tc>
          <w:tcPr>
            <w:tcW w:type="dxa" w:w="1728"/>
          </w:tcPr>
          <w:p>
            <w:r>
              <w:t>Amazon.com Inc.</w:t>
            </w:r>
          </w:p>
        </w:tc>
        <w:tc>
          <w:tcPr>
            <w:tcW w:type="dxa" w:w="1728"/>
          </w:tcPr>
          <w:p>
            <w:r>
              <w:t>218.94</w:t>
            </w:r>
          </w:p>
        </w:tc>
        <w:tc>
          <w:tcPr>
            <w:tcW w:type="dxa" w:w="1728"/>
          </w:tcPr>
          <w:p>
            <w:r>
              <w:t>strong_buy</w:t>
            </w:r>
          </w:p>
        </w:tc>
        <w:tc>
          <w:tcPr>
            <w:tcW w:type="dxa" w:w="1728"/>
          </w:tcPr>
          <w:p>
            <w:r>
              <w:t>Consumer Cyclical</w:t>
            </w:r>
          </w:p>
        </w:tc>
      </w:tr>
      <w:tr>
        <w:tc>
          <w:tcPr>
            <w:tcW w:type="dxa" w:w="1728"/>
          </w:tcPr>
          <w:p>
            <w:r>
              <w:t>JPM</w:t>
            </w:r>
          </w:p>
        </w:tc>
        <w:tc>
          <w:tcPr>
            <w:tcW w:type="dxa" w:w="1728"/>
          </w:tcPr>
          <w:p>
            <w:r>
              <w:t>JPMorgan Chase &amp; Co.</w:t>
            </w:r>
          </w:p>
        </w:tc>
        <w:tc>
          <w:tcPr>
            <w:tcW w:type="dxa" w:w="1728"/>
          </w:tcPr>
          <w:p>
            <w:r>
              <w:t>293.55</w:t>
            </w:r>
          </w:p>
        </w:tc>
        <w:tc>
          <w:tcPr>
            <w:tcW w:type="dxa" w:w="1728"/>
          </w:tcPr>
          <w:p>
            <w:r>
              <w:t>buy</w:t>
            </w:r>
          </w:p>
        </w:tc>
        <w:tc>
          <w:tcPr>
            <w:tcW w:type="dxa" w:w="1728"/>
          </w:tcPr>
          <w:p>
            <w:r>
              <w:t>Financial Services</w:t>
            </w:r>
          </w:p>
        </w:tc>
      </w:tr>
      <w:tr>
        <w:tc>
          <w:tcPr>
            <w:tcW w:type="dxa" w:w="1728"/>
          </w:tcPr>
          <w:p>
            <w:r>
              <w:t>JNJ</w:t>
            </w:r>
          </w:p>
        </w:tc>
        <w:tc>
          <w:tcPr>
            <w:tcW w:type="dxa" w:w="1728"/>
          </w:tcPr>
          <w:p>
            <w:r>
              <w:t>Johnson &amp; Johnson</w:t>
            </w:r>
          </w:p>
        </w:tc>
        <w:tc>
          <w:tcPr>
            <w:tcW w:type="dxa" w:w="1728"/>
          </w:tcPr>
          <w:p>
            <w:r>
              <w:t>239.63</w:t>
            </w:r>
          </w:p>
        </w:tc>
        <w:tc>
          <w:tcPr>
            <w:tcW w:type="dxa" w:w="1728"/>
          </w:tcPr>
          <w:p>
            <w:r>
              <w:t>buy</w:t>
            </w:r>
          </w:p>
        </w:tc>
        <w:tc>
          <w:tcPr>
            <w:tcW w:type="dxa" w:w="1728"/>
          </w:tcPr>
          <w:p>
            <w:r>
              <w:t>Healthcare</w:t>
            </w:r>
          </w:p>
        </w:tc>
      </w:tr>
      <w:tr>
        <w:tc>
          <w:tcPr>
            <w:tcW w:type="dxa" w:w="1728"/>
          </w:tcPr>
          <w:p>
            <w:r>
              <w:t>XOM</w:t>
            </w:r>
          </w:p>
        </w:tc>
        <w:tc>
          <w:tcPr>
            <w:tcW w:type="dxa" w:w="1728"/>
          </w:tcPr>
          <w:p>
            <w:r>
              <w:t>Exxon Mobil Corporation</w:t>
            </w:r>
          </w:p>
        </w:tc>
        <w:tc>
          <w:tcPr>
            <w:tcW w:type="dxa" w:w="1728"/>
          </w:tcPr>
          <w:p>
            <w:r>
              <w:t>150.76</w:t>
            </w:r>
          </w:p>
        </w:tc>
        <w:tc>
          <w:tcPr>
            <w:tcW w:type="dxa" w:w="1728"/>
          </w:tcPr>
          <w:p>
            <w:r>
              <w:t>buy</w:t>
            </w:r>
          </w:p>
        </w:tc>
        <w:tc>
          <w:tcPr>
            <w:tcW w:type="dxa" w:w="1728"/>
          </w:tcPr>
          <w:p>
            <w:r>
              <w:t>Energy</w:t>
            </w:r>
          </w:p>
        </w:tc>
      </w:tr>
    </w:tbl>
    <w:p>
      <w:pPr>
        <w:pStyle w:val="Heading1"/>
      </w:pPr>
      <w:r>
        <w:t>Analysis</w:t>
      </w:r>
    </w:p>
    <w:p>
      <w:r>
        <w:t>The portfolio contains five stocks across diverse sectors. GOOGL and AMZN both carry strong_buy analyst recommendations, making them the top-rated holdings. GOOGL in Communication Services trades at $300.88, while AMZN in Consumer Cyclical trades at $218.94. JPM, JNJ, and XOM all carry buy recommendations. The portfolio spans five sectors: Communication Services, Consumer Cyclical, Financial Services, Healthcare, and Energy, providing broad diversification.</w:t>
      </w:r>
    </w:p>
    <w:p>
      <w:pPr>
        <w:pStyle w:val="Heading1"/>
      </w:pPr>
      <w:r>
        <w:t>Portfolio Strategy</w:t>
      </w:r>
    </w:p>
    <w:p>
      <w:r>
        <w:t>Based on analyst recommendations, GOOGL and AMZN should receive higher portfolio weights given their strong_buy ratings. JPM, JNJ, and XOM are solid holdings with buy ratings and should form the core defensive positions. The sector diversification reduces concentration risk across the portfolio.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