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Fireship YouTube Engagement Analysis Report</w:t>
      </w:r>
    </w:p>
    <w:p>
      <w:pPr>
        <w:pStyle w:val="Heading1"/>
      </w:pPr>
      <w:r>
        <w:t>Overview</w:t>
      </w:r>
    </w:p>
    <w:p>
      <w:r>
        <w:t>This report analyzes the engagement rates of all 104 Fireship YouTube videos available in our video database. Engagement rate measures audience interaction relative to video reach.</w:t>
      </w:r>
    </w:p>
    <w:p>
      <w:pPr>
        <w:pStyle w:val="Heading1"/>
      </w:pPr>
      <w:r>
        <w:t>Methodology</w:t>
      </w:r>
    </w:p>
    <w:p>
      <w:r>
        <w:t>Engagement rate is calculated as: Engagement_Rate_Pct = (like_count / view_count) * 100. Values are rounded to 3 decimal places. Videos are sourced from our internal video database covering June 2024 through June 2025.</w:t>
      </w:r>
    </w:p>
    <w:p>
      <w:pPr>
        <w:pStyle w:val="Heading1"/>
      </w:pPr>
      <w:r>
        <w:t>Key Findings</w:t>
      </w:r>
    </w:p>
    <w:p>
      <w:r>
        <w:t>The top three most engaging Fireship videos by engagement rate are:</w:t>
        <w:br/>
        <w:t>1. 'Paying for software is stupid... 10 free and open-source SaaS replacements' - 6.234%</w:t>
        <w:br/>
        <w:t>2. 'CSS just changed forever... plus 7 new features you don't know about' - 5.914%</w:t>
        <w:br/>
        <w:t>3. 'Hackers are destroying the Internet's history book right now' - 5.557%</w:t>
        <w:br/>
        <w:t>These videos significantly outperform the channel average of approximately 4.1% engagement.</w:t>
      </w:r>
    </w:p>
    <w:p>
      <w:pPr>
        <w:pStyle w:val="Heading1"/>
      </w:pPr>
      <w:r>
        <w:t>Monthly Trends</w:t>
      </w:r>
    </w:p>
    <w:p>
      <w:r>
        <w:t>Engagement rates vary by month. Videos published in August 2024 show the highest average engagement, driven by the open-source SaaS video. More recent videos in 2025 show slightly lower engagement rates despite higher view counts, suggesting the channel audience has grown but the core engaged viewer base has remained stable.</w:t>
      </w:r>
    </w:p>
    <w:p>
      <w:pPr>
        <w:pStyle w:val="Heading1"/>
      </w:pPr>
      <w:r>
        <w:t>Conclusions</w:t>
      </w:r>
    </w:p>
    <w:p>
      <w:r>
        <w:t>Fireship maintains strong engagement across its 104 analyzed videos. Open-source, CSS, and security topics tend to generate the highest engagement rates. The channel shows consistent month-over-month content output with stable audience engagement.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