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735B4" w:rsidRDefault="00C735B4" w14:paraId="2C078E63" w14:textId="6B37BF8A">
      <w:pPr>
        <w:rPr/>
      </w:pPr>
      <w:r w:rsidR="002941FE">
        <w:rPr/>
        <w:t>Chapter 2 p.16</w:t>
      </w:r>
    </w:p>
    <w:p w:rsidR="002941FE" w:rsidP="3BF8B2E9" w:rsidRDefault="002941FE" w14:paraId="05D35B91" w14:textId="6B37BF8A">
      <w:pPr>
        <w:pStyle w:val="Normal"/>
        <w:rPr/>
      </w:pPr>
      <w:r w:rsidR="002941FE">
        <w:rPr/>
        <w:t>Distribution of top four attack progression notifications</w:t>
      </w:r>
    </w:p>
    <w:p w:rsidR="6D4D843A" w:rsidP="0F9B536E" w:rsidRDefault="6D4D843A" w14:paraId="231FBDC2" w14:textId="43AB18F6">
      <w:pPr>
        <w:pStyle w:val="Normal"/>
        <w:rPr/>
      </w:pPr>
      <w:r w:rsidR="6D4D843A">
        <w:rPr/>
        <w:t>Pie chart showing percentage of Distribution of top four attack progression notifications. It shows A. Successful identity attacks: 42%, B. Ransomware encounters: 29%, C. Successful targeted phishing attempts: 25%, and D. Business email compromise (BEC): 4%.</w:t>
      </w:r>
    </w:p>
    <w:p w:rsidR="002941FE" w:rsidP="0F9B536E" w:rsidRDefault="002941FE" w14:paraId="6E44FEDC" w14:textId="47E64844">
      <w:pPr>
        <w:pStyle w:val="Normal"/>
        <w:rPr/>
      </w:pPr>
      <w:r w:rsidR="002941FE">
        <w:drawing>
          <wp:inline wp14:editId="78D371A3" wp14:anchorId="646EB6AC">
            <wp:extent cx="3105583" cy="3677163"/>
            <wp:effectExtent l="0" t="0" r="0" b="0"/>
            <wp:docPr id="712271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ded5cf5dde4a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FE" w:rsidP="0F9B536E" w:rsidRDefault="002941FE" w14:paraId="6EB36F3C" w14:textId="312FDC09">
      <w:pPr>
        <w:pStyle w:val="Normal"/>
        <w:rPr/>
      </w:pPr>
      <w:r w:rsidR="002941FE">
        <w:rPr/>
        <w:t>Telemetry sources: Microsoft Defender for Endpoint, Microsoft Defender for Cloud Apps, Microsoft Defender for Identity, Microsoft Defender for Office 365, Azure AD Identity Protection, Microsoft Defender Threat Intelligence</w:t>
      </w:r>
    </w:p>
    <w:p w:rsidR="0F9B536E" w:rsidP="0F9B536E" w:rsidRDefault="0F9B536E" w14:paraId="02FDFE40" w14:textId="60F39244">
      <w:pPr>
        <w:pStyle w:val="Normal"/>
        <w:rPr/>
      </w:pPr>
    </w:p>
    <w:sectPr w:rsidR="00C735B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CF3AC2"/>
    <w:rsid w:val="002941FE"/>
    <w:rsid w:val="00C735B4"/>
    <w:rsid w:val="0F9B536E"/>
    <w:rsid w:val="1FCF3AC2"/>
    <w:rsid w:val="346CADDD"/>
    <w:rsid w:val="3BF8B2E9"/>
    <w:rsid w:val="3DFA67C6"/>
    <w:rsid w:val="57BF5B5C"/>
    <w:rsid w:val="68001EC8"/>
    <w:rsid w:val="6D4D8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3AC2"/>
  <w15:chartTrackingRefBased/>
  <w15:docId w15:val="{CBEA24E5-2A32-48DE-9956-7AC57902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b1ded5cf5dde4a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36939622-E0B4-4E16-BD10-17FFCCD96C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9D18AA-316A-46B8-8C8A-71239E9EFE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A41A97-9D47-414B-8117-CA9B7902543C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3</revision>
  <dcterms:created xsi:type="dcterms:W3CDTF">2024-02-28T22:37:00.0000000Z</dcterms:created>
  <dcterms:modified xsi:type="dcterms:W3CDTF">2024-02-28T22:45:11.6900439Z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