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2C07" w:rsidRDefault="008B2C07" w14:paraId="2C078E63" w14:textId="155CC02A">
      <w:pPr>
        <w:rPr/>
      </w:pPr>
      <w:r w:rsidR="155CC02A">
        <w:rPr/>
        <w:t>Chapter 2 p.34</w:t>
      </w:r>
    </w:p>
    <w:p w:rsidR="2F222537" w:rsidP="1C314437" w:rsidRDefault="2F222537" w14:paraId="52D52423" w14:textId="392D985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>Password based attacks spiked in 2023</w:t>
      </w:r>
    </w:p>
    <w:p w:rsidR="155CC02A" w:rsidP="1C314437" w:rsidRDefault="155CC02A" w14:paraId="5D2C287A" w14:textId="70465573">
      <w:pPr>
        <w:pStyle w:val="Normal"/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</w:pP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 xml:space="preserve">Line graph showing Password based attacks over the years. X-axis </w:t>
      </w: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>represents</w:t>
      </w: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 xml:space="preserve"> the period from Jun 2020 to Jun 2023 and y-axis </w:t>
      </w: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>represents</w:t>
      </w: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 xml:space="preserve"> billions from 0 to 50 in intervals of 10. Line starts from almost 0 in Jun 20, </w:t>
      </w: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>remains</w:t>
      </w: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 xml:space="preserve"> constant till 2022, and shows a sharp growth to approx. 45 billion in May 23.</w:t>
      </w:r>
    </w:p>
    <w:p w:rsidR="155CC02A" w:rsidP="1C314437" w:rsidRDefault="155CC02A" w14:paraId="18A94DC1" w14:textId="7387317D">
      <w:pPr>
        <w:pStyle w:val="Normal"/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</w:pPr>
      <w:r w:rsidRPr="1C314437" w:rsidR="155CC02A">
        <w:rPr>
          <w:rFonts w:ascii="Segoe UI Semilight" w:hAnsi="Segoe UI Semilight" w:eastAsia="Segoe UI Semilight" w:cs="Segoe UI Semilight"/>
          <w:noProof w:val="0"/>
          <w:color w:val="291817"/>
          <w:sz w:val="22"/>
          <w:szCs w:val="22"/>
          <w:lang w:val="en-US"/>
        </w:rPr>
        <w:t>After a notable increase in the number of password-based attacks per month in October 2022, the number skyrocketed in 2023. In April, there were 11,000 attacks per second, a tenfold increase from the same time last year.</w:t>
      </w:r>
    </w:p>
    <w:p w:rsidR="155CC02A" w:rsidP="1C314437" w:rsidRDefault="155CC02A" w14:paraId="29FDDAE1" w14:textId="6FC27513">
      <w:pPr>
        <w:pStyle w:val="Normal"/>
        <w:rPr/>
      </w:pPr>
      <w:r w:rsidR="155CC02A">
        <w:drawing>
          <wp:inline wp14:editId="3DB9459B" wp14:anchorId="59839381">
            <wp:extent cx="5620533" cy="4172532"/>
            <wp:effectExtent l="0" t="0" r="0" b="0"/>
            <wp:docPr id="137871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37ff450e2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CC02A" w:rsidP="1C314437" w:rsidRDefault="155CC02A" w14:paraId="593203E0" w14:textId="017569CB">
      <w:pPr>
        <w:spacing w:after="0" w:afterAutospacing="off"/>
        <w:ind w:left="3118" w:right="56"/>
        <w:jc w:val="center"/>
        <w:rPr/>
      </w:pPr>
      <w:r w:rsidRPr="1C314437" w:rsidR="155CC02A">
        <w:rPr>
          <w:rFonts w:ascii="Century Gothic" w:hAnsi="Century Gothic" w:eastAsia="Century Gothic" w:cs="Century Gothic"/>
          <w:noProof w:val="0"/>
          <w:sz w:val="17"/>
          <w:szCs w:val="17"/>
          <w:lang w:val="en-US"/>
        </w:rPr>
        <w:t>Source: Microsoft Entra data</w:t>
      </w:r>
    </w:p>
    <w:p w:rsidR="1C314437" w:rsidP="1C314437" w:rsidRDefault="1C314437" w14:paraId="583DF069" w14:textId="3E5304D6">
      <w:pPr>
        <w:pStyle w:val="Normal"/>
        <w:rPr/>
      </w:pPr>
    </w:p>
    <w:sectPr w:rsidR="008B2C0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F57B9"/>
    <w:rsid w:val="008B2C07"/>
    <w:rsid w:val="155CC02A"/>
    <w:rsid w:val="1A30314D"/>
    <w:rsid w:val="1C314437"/>
    <w:rsid w:val="2BEA12FE"/>
    <w:rsid w:val="2F222537"/>
    <w:rsid w:val="5453F99F"/>
    <w:rsid w:val="5E7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57B9"/>
  <w15:chartTrackingRefBased/>
  <w15:docId w15:val="{39FB214F-0120-4F40-934E-DF5A34F3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1f137ff450e2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1A9541E5-4AEE-45C4-B081-35CEB5D1AE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B0F6A7-37F5-484F-919A-9404152CA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59B35A-AFB2-42AA-B6B4-B4664971B842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2024-02-29T20:06:00.0000000Z</dcterms:created>
  <dcterms:modified xsi:type="dcterms:W3CDTF">2024-02-29T20:09:50.6271811Z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