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1CFD70D" w:rsidR="00E35A08" w:rsidRDefault="2B5B932E">
      <w:r>
        <w:t>Chapter 3 p.</w:t>
      </w:r>
      <w:r w:rsidR="00491CFE">
        <w:t>5</w:t>
      </w:r>
      <w:r>
        <w:t>1</w:t>
      </w:r>
    </w:p>
    <w:p w14:paraId="32EA4ABB" w14:textId="6197BFCA" w:rsidR="2B5B932E" w:rsidRDefault="2B5B932E" w:rsidP="4CA63D57">
      <w:pPr>
        <w:rPr>
          <w:rFonts w:ascii="Aptos" w:eastAsia="Aptos" w:hAnsi="Aptos" w:cs="Aptos"/>
        </w:rPr>
      </w:pPr>
      <w:r w:rsidRPr="2C332ECF">
        <w:rPr>
          <w:rFonts w:ascii="Segoe UI Semilight" w:eastAsia="Segoe UI Semilight" w:hAnsi="Segoe UI Semilight" w:cs="Segoe UI Semilight"/>
          <w:color w:val="291817"/>
          <w:sz w:val="22"/>
          <w:szCs w:val="22"/>
        </w:rPr>
        <w:t>Most targeted regions</w:t>
      </w:r>
    </w:p>
    <w:p w14:paraId="1A9CF11C" w14:textId="58028ADE" w:rsidR="2B5B932E" w:rsidRDefault="2B5B932E" w:rsidP="2C332ECF">
      <w:pPr>
        <w:rPr>
          <w:rFonts w:ascii="Segoe UI Semilight" w:eastAsia="Segoe UI Semilight" w:hAnsi="Segoe UI Semilight" w:cs="Segoe UI Semilight"/>
          <w:color w:val="291817"/>
          <w:sz w:val="22"/>
          <w:szCs w:val="22"/>
        </w:rPr>
      </w:pPr>
      <w:r w:rsidRPr="2C332ECF">
        <w:rPr>
          <w:rFonts w:ascii="Segoe UI Semilight" w:eastAsia="Segoe UI Semilight" w:hAnsi="Segoe UI Semilight" w:cs="Segoe UI Semilight"/>
          <w:color w:val="291817"/>
          <w:sz w:val="22"/>
          <w:szCs w:val="22"/>
        </w:rPr>
        <w:t>A breakdown of operations by region reflects the priority targets of the threat actors. Ukraine is the top European target per volume of observed activity, driven by Russian state actors’ invasion-related operations. Israel remains by far the most-targeted country in the Middle East and North Africa region as a result of Iran’s extensive focus there. North Korean and Chinese state actors drove South Korea and Taiwan to the first and second most targeted geographies in the Asia-Pacific</w:t>
      </w:r>
    </w:p>
    <w:p w14:paraId="48F7D0BF" w14:textId="74E78421" w:rsidR="2B5B932E" w:rsidRDefault="2B5B932E" w:rsidP="2C332ECF">
      <w:pPr>
        <w:rPr>
          <w:rFonts w:ascii="Segoe UI Semilight" w:eastAsia="Segoe UI Semilight" w:hAnsi="Segoe UI Semilight" w:cs="Segoe UI Semilight"/>
          <w:color w:val="291817"/>
          <w:sz w:val="22"/>
          <w:szCs w:val="22"/>
        </w:rPr>
      </w:pPr>
      <w:r w:rsidRPr="2C332ECF">
        <w:rPr>
          <w:rFonts w:ascii="Segoe UI Semilight" w:eastAsia="Segoe UI Semilight" w:hAnsi="Segoe UI Semilight" w:cs="Segoe UI Semilight"/>
          <w:color w:val="291817"/>
          <w:sz w:val="22"/>
          <w:szCs w:val="22"/>
        </w:rPr>
        <w:t>Pie chart showing percentages of the most targeted regions in Europe. It shows A. Ukraine: 33%, B. United Kingdom: 11%, C. France: 5%, D. Poland: 5%, E. Italy: 4%, F. Germany: 3%, G. Switzerland: 3%, H. Netherlands: 3%, I. Azerbaijan: 2%, J. Albania: 2%, and K. Other: 29%.</w:t>
      </w:r>
    </w:p>
    <w:p w14:paraId="3AF5EAAB" w14:textId="6CA545A2" w:rsidR="2B5B932E" w:rsidRDefault="2B5B932E" w:rsidP="2C332ECF">
      <w:pPr>
        <w:rPr>
          <w:rFonts w:ascii="Segoe UI Semilight" w:eastAsia="Segoe UI Semilight" w:hAnsi="Segoe UI Semilight" w:cs="Segoe UI Semilight"/>
          <w:color w:val="291817"/>
          <w:sz w:val="22"/>
          <w:szCs w:val="22"/>
        </w:rPr>
      </w:pPr>
      <w:r w:rsidRPr="2C332ECF">
        <w:rPr>
          <w:rFonts w:ascii="Segoe UI Semilight" w:eastAsia="Segoe UI Semilight" w:hAnsi="Segoe UI Semilight" w:cs="Segoe UI Semilight"/>
          <w:color w:val="291817"/>
          <w:sz w:val="22"/>
          <w:szCs w:val="22"/>
        </w:rPr>
        <w:t>Pie chart showing percentages of the most targeted regions in Middle East and North Africa. It shows A. Israel: 38%, B. United Arab Emirates: 12%, C. Saudi Arabia: 9%, D. Jordan: 6%, E. Iraq: 5%, F. Bahrain: 4%, G. Lebanon: 4%, H. Egypt: 4%, I. Türkiye: 4%, and J. Other: 14%.</w:t>
      </w:r>
    </w:p>
    <w:p w14:paraId="30859F26" w14:textId="583CE021" w:rsidR="2B5B932E" w:rsidRDefault="2B5B932E" w:rsidP="2C332ECF">
      <w:pPr>
        <w:rPr>
          <w:rFonts w:ascii="Segoe UI Semilight" w:eastAsia="Segoe UI Semilight" w:hAnsi="Segoe UI Semilight" w:cs="Segoe UI Semilight"/>
          <w:color w:val="291817"/>
          <w:sz w:val="22"/>
          <w:szCs w:val="22"/>
        </w:rPr>
      </w:pPr>
      <w:r w:rsidRPr="2C332ECF">
        <w:rPr>
          <w:rFonts w:ascii="Segoe UI Semilight" w:eastAsia="Segoe UI Semilight" w:hAnsi="Segoe UI Semilight" w:cs="Segoe UI Semilight"/>
          <w:color w:val="291817"/>
          <w:sz w:val="22"/>
          <w:szCs w:val="22"/>
        </w:rPr>
        <w:t>Pie chart showing percentages of the most targeted regions in Asia-Pacific. It shows A. Korea: 17%, B. Taiwan: 15%, C. India: 13%, D. Malaysia: 6%, E. Japan: 5%, F. Australia: 4%, G. Thailand: 5%, H. Indonesia: 5%, I. Pakistan: 4%, J. Philippines: 4%. K. Other: 21%.</w:t>
      </w:r>
    </w:p>
    <w:p w14:paraId="7AEBDAD8" w14:textId="7D0FBCC9" w:rsidR="2B5B932E" w:rsidRDefault="2B5B932E" w:rsidP="2C332ECF">
      <w:r>
        <w:rPr>
          <w:noProof/>
        </w:rPr>
        <w:drawing>
          <wp:inline distT="0" distB="0" distL="0" distR="0" wp14:anchorId="28C206D4" wp14:editId="764AE574">
            <wp:extent cx="5943600" cy="3133725"/>
            <wp:effectExtent l="0" t="0" r="0" b="0"/>
            <wp:docPr id="1960838157" name="Picture 1960838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Source: Microsoft Threat Intelligence events data</w:t>
      </w:r>
    </w:p>
    <w:p w14:paraId="44A7D5CC" w14:textId="7B7501E7" w:rsidR="2C332ECF" w:rsidRDefault="2C332ECF" w:rsidP="2C332ECF"/>
    <w:sectPr w:rsidR="2C33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E33C89"/>
    <w:rsid w:val="004274B1"/>
    <w:rsid w:val="00491CFE"/>
    <w:rsid w:val="00E35A08"/>
    <w:rsid w:val="211DDE51"/>
    <w:rsid w:val="2B5B932E"/>
    <w:rsid w:val="2C332ECF"/>
    <w:rsid w:val="33D462ED"/>
    <w:rsid w:val="4CA63D57"/>
    <w:rsid w:val="4D6F60A8"/>
    <w:rsid w:val="4E420DB8"/>
    <w:rsid w:val="6FF8EAD6"/>
    <w:rsid w:val="76E3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3C89"/>
  <w15:chartTrackingRefBased/>
  <w15:docId w15:val="{3A437F96-B93C-4907-9D6D-ADEC33B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E9412-D48D-49C3-A1DA-E322E8A640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E7326-FAFC-431A-B9B8-3CA6CFA21DF6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D37CF0C-03B6-4BE3-97AD-57DFEC1FCCE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1168</Characters>
  <Application>Microsoft Office Word</Application>
  <DocSecurity>0</DocSecurity>
  <Lines>15</Lines>
  <Paragraphs>4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Steinbach (INTEROP SYSTEMS INC)</dc:creator>
  <cp:keywords/>
  <dc:description/>
  <cp:lastModifiedBy>Jeffrey Gould</cp:lastModifiedBy>
  <cp:revision>5</cp:revision>
  <dcterms:created xsi:type="dcterms:W3CDTF">2024-02-29T20:55:00Z</dcterms:created>
  <dcterms:modified xsi:type="dcterms:W3CDTF">2024-04-04T00:08:00Z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