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65313" w:rsidRDefault="4E58A861" w14:paraId="2C078E63" w14:textId="30AF413E">
      <w:pPr>
        <w:rPr/>
      </w:pPr>
      <w:r w:rsidR="4E58A861">
        <w:rPr/>
        <w:t>Chapter 3 p.55</w:t>
      </w:r>
    </w:p>
    <w:p w:rsidR="11AB66B9" w:rsidP="14D7F64A" w:rsidRDefault="11AB66B9" w14:paraId="18F2D5DB" w14:textId="4E71AE13">
      <w:pPr>
        <w:pStyle w:val="Normal"/>
        <w:rPr/>
      </w:pPr>
      <w:r w:rsidR="11AB66B9">
        <w:rPr/>
        <w:t>Most targeted sectors</w:t>
      </w:r>
    </w:p>
    <w:p w:rsidR="14D7F64A" w:rsidP="14D7F64A" w:rsidRDefault="14D7F64A" w14:paraId="737406E0" w14:textId="06224297">
      <w:pPr>
        <w:pStyle w:val="Normal"/>
        <w:rPr/>
      </w:pPr>
    </w:p>
    <w:p w:rsidR="4E58A861" w:rsidP="5E9C93F6" w:rsidRDefault="4E58A861" w14:paraId="07A71950" w14:textId="30AF413E">
      <w:pPr>
        <w:pStyle w:val="Normal"/>
        <w:rPr/>
      </w:pPr>
      <w:r w:rsidR="4E58A861">
        <w:rPr/>
        <w:t>Pie chart showing percentages of the most targeted sectors. It shows A. Government: 27%, B. Think tanks/NGOs: 21%, C. Education: 11%, D. IT: 9%, E. Intergovernmental organizations: 9%, F. Défense Industry: 6%, G. Energy: 3%, H. Health: 2%, and I. Other: 10%.</w:t>
      </w:r>
    </w:p>
    <w:p w:rsidR="53EDB82A" w:rsidP="14D7F64A" w:rsidRDefault="53EDB82A" w14:paraId="02F3D584" w14:textId="3CBFE327">
      <w:pPr>
        <w:pStyle w:val="Normal"/>
        <w:rPr/>
      </w:pPr>
      <w:r w:rsidR="53EDB82A">
        <w:drawing>
          <wp:inline wp14:editId="0F873B0F" wp14:anchorId="2DD1D9E1">
            <wp:extent cx="2705477" cy="4439270"/>
            <wp:effectExtent l="0" t="0" r="0" b="0"/>
            <wp:docPr id="127422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2c980ce2cc45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DB82A" w:rsidP="14D7F64A" w:rsidRDefault="53EDB82A" w14:paraId="6771D2A2" w14:textId="215D05E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D7F64A" w:rsidR="53EDB82A">
        <w:rPr>
          <w:rFonts w:ascii="Lucida Sans Unicode" w:hAnsi="Lucida Sans Unicode" w:eastAsia="Lucida Sans Unicode" w:cs="Lucida Sans Unicode"/>
          <w:noProof w:val="0"/>
          <w:sz w:val="17"/>
          <w:szCs w:val="17"/>
          <w:lang w:val="en-US"/>
        </w:rPr>
        <w:t>Source: Microsoft Threat Intelligence nation state notifications</w:t>
      </w:r>
    </w:p>
    <w:sectPr w:rsidR="0066531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7E5259"/>
    <w:rsid w:val="00665313"/>
    <w:rsid w:val="11AB66B9"/>
    <w:rsid w:val="14D7F64A"/>
    <w:rsid w:val="167E5259"/>
    <w:rsid w:val="4E58A861"/>
    <w:rsid w:val="53EDB82A"/>
    <w:rsid w:val="5E9C93F6"/>
    <w:rsid w:val="77246EEA"/>
    <w:rsid w:val="7B41C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5259"/>
  <w15:chartTrackingRefBased/>
  <w15:docId w15:val="{2F57B410-7EAF-4C09-8A02-44B9CCFF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052c980ce2cc45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89CE931C-C90A-41C4-9067-3892E3488F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7A5965-2E2D-4550-9515-79FA11404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2905C-290F-4429-B9CA-45FB7C00D588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Danielle Steinbach (INTEROP SYSTEMS INC)</lastModifiedBy>
  <revision>3</revision>
  <dcterms:created xsi:type="dcterms:W3CDTF">2024-02-29T21:06:00.0000000Z</dcterms:created>
  <dcterms:modified xsi:type="dcterms:W3CDTF">2024-02-29T21:11:55.9231199Z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