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0C8B" w:rsidRDefault="4D17D3F8" w14:paraId="2C078E63" w14:textId="0027D918">
      <w:pPr>
        <w:rPr/>
      </w:pPr>
      <w:r w:rsidR="4D17D3F8">
        <w:rPr/>
        <w:t>Chapter 3 p.61</w:t>
      </w:r>
    </w:p>
    <w:p w:rsidR="4D17D3F8" w:rsidP="5AA554DA" w:rsidRDefault="4D17D3F8" w14:paraId="71604F81" w14:textId="7999938E">
      <w:pPr>
        <w:pStyle w:val="Normal"/>
        <w:rPr/>
      </w:pPr>
      <w:r w:rsidR="4D17D3F8">
        <w:rPr/>
        <w:t>Chinese targeting of US sectors</w:t>
      </w:r>
    </w:p>
    <w:p w:rsidR="4D17D3F8" w:rsidP="5AA554DA" w:rsidRDefault="4D17D3F8" w14:paraId="240607F5" w14:textId="208E85E6">
      <w:pPr>
        <w:pStyle w:val="Normal"/>
        <w:rPr/>
      </w:pPr>
      <w:r w:rsidR="4D17D3F8">
        <w:rPr/>
        <w:t>Chinese state-sponsored threat actors were broadly interested in US military capabilities and its policymaking during this reporting period</w:t>
      </w:r>
    </w:p>
    <w:p w:rsidR="4D17D3F8" w:rsidP="354BA11F" w:rsidRDefault="4D17D3F8" w14:paraId="098C883C" w14:textId="075E4E67">
      <w:pPr>
        <w:pStyle w:val="Normal"/>
        <w:rPr/>
      </w:pPr>
      <w:r w:rsidR="4D17D3F8">
        <w:rPr/>
        <w:t>Pie chart showing percentages of the Chinese targeting of US sectors. It shows A. Défense: 22%, B. IT: 16%, C. Communications: 13%, D. Government: 12%, E. NGOs and Think tanks: 10%, F. Education: 6%, G. Energy: 5% H. Manufacturing: 3%, I. Transportation: 3%, J. Water: 3%, and K. Other: 7%.</w:t>
      </w:r>
    </w:p>
    <w:p w:rsidR="00B6CDF4" w:rsidP="5AA554DA" w:rsidRDefault="00B6CDF4" w14:paraId="4ACDE111" w14:textId="74C63AFB">
      <w:pPr>
        <w:pStyle w:val="Normal"/>
        <w:rPr/>
      </w:pPr>
      <w:r w:rsidR="00B6CDF4">
        <w:drawing>
          <wp:inline wp14:editId="4D27553F" wp14:anchorId="1B36C946">
            <wp:extent cx="2724530" cy="4344006"/>
            <wp:effectExtent l="0" t="0" r="0" b="0"/>
            <wp:docPr id="1409575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c7d698c14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554DA" w:rsidP="5AA554DA" w:rsidRDefault="5AA554DA" w14:paraId="3723CB0E" w14:textId="341F5582">
      <w:pPr>
        <w:spacing w:before="188" w:beforeAutospacing="off"/>
        <w:ind w:left="-20" w:right="-20"/>
        <w:rPr>
          <w:rFonts w:ascii="Segoe UI Semilight" w:hAnsi="Segoe UI Semilight" w:eastAsia="Segoe UI Semilight" w:cs="Segoe UI Semilight"/>
          <w:noProof w:val="0"/>
          <w:sz w:val="17"/>
          <w:szCs w:val="17"/>
          <w:lang w:val="en-US"/>
        </w:rPr>
      </w:pPr>
    </w:p>
    <w:p w:rsidR="00B6CDF4" w:rsidP="5AA554DA" w:rsidRDefault="00B6CDF4" w14:paraId="080916D7" w14:textId="0EA571B1">
      <w:pPr>
        <w:ind w:left="5180" w:right="-20"/>
        <w:rPr/>
      </w:pPr>
      <w:r w:rsidRPr="5AA554DA" w:rsidR="00B6CDF4">
        <w:rPr>
          <w:rFonts w:ascii="Lucida Sans Unicode" w:hAnsi="Lucida Sans Unicode" w:eastAsia="Lucida Sans Unicode" w:cs="Lucida Sans Unicode"/>
          <w:noProof w:val="0"/>
          <w:color w:val="291817"/>
          <w:sz w:val="17"/>
          <w:szCs w:val="17"/>
          <w:lang w:val="en-US"/>
        </w:rPr>
        <w:t>Source: Microsoft Threat Intelligence</w:t>
      </w:r>
    </w:p>
    <w:p w:rsidR="5AA554DA" w:rsidP="5AA554DA" w:rsidRDefault="5AA554DA" w14:paraId="485FEB30" w14:textId="2EAE282F">
      <w:pPr>
        <w:pStyle w:val="Normal"/>
        <w:rPr/>
      </w:pPr>
    </w:p>
    <w:sectPr w:rsidR="00230C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B5AE53"/>
    <w:rsid w:val="00230C8B"/>
    <w:rsid w:val="00B6CDF4"/>
    <w:rsid w:val="1109B708"/>
    <w:rsid w:val="21B5AE53"/>
    <w:rsid w:val="354BA11F"/>
    <w:rsid w:val="4D17D3F8"/>
    <w:rsid w:val="5AA554DA"/>
    <w:rsid w:val="76B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30C6"/>
  <w15:chartTrackingRefBased/>
  <w15:docId w15:val="{379A429D-554A-412D-B264-3300219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552c7d698c14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C0E65125-5738-4C44-9608-0E99EA437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BFD23-9CA0-4D5A-A768-80CB122C5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DDE9C-DDD2-4A22-A0AE-4D5375A97169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2024-02-29T21:15:00.0000000Z</dcterms:created>
  <dcterms:modified xsi:type="dcterms:W3CDTF">2024-02-29T21:27:18.8312920Z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