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Demo Document</w:t>
      </w:r>
    </w:p>
    <w:p w14:paraId="00000002">
      <w:pPr>
        <w:rPr/>
        <w:pStyle w:val="Quote"/>
      </w:pPr>
      <w:r>
        <w:rPr/>
        <w:t xml:space="preserve">Folio compiles Markdown directly into </w:t>
      </w:r>
      <w:r>
        <w:rPr>
          <w:b/>
          <w:bCs/>
        </w:rPr>
        <w:t xml:space="preserve">native Word structures</w:t>
      </w:r>
      <w:r>
        <w:rPr/>
        <w:t xml:space="preserve"> — editable equations, well-formed tables, aligned fonts, with no manual cleanup pass.</w:t>
      </w:r>
    </w:p>
    <w:p w14:paraId="00000003">
      <w:pPr>
        <w:rPr/>
        <w:pStyle w:val="Heading2"/>
      </w:pPr>
      <w:r>
        <w:rPr/>
        <w:t xml:space="preserve">Heading hierarchy</w:t>
      </w:r>
    </w:p>
    <w:p w14:paraId="00000004">
      <w:pPr>
        <w:rPr/>
      </w:pPr>
      <w:r>
        <w:rPr/>
        <w:t xml:space="preserve">The next paragraphs show the visual difference between H2, H3, and H4.</w:t>
      </w:r>
    </w:p>
    <w:p w14:paraId="00000005">
      <w:pPr>
        <w:rPr/>
        <w:pStyle w:val="Heading3"/>
      </w:pPr>
      <w:r>
        <w:rPr/>
        <w:t xml:space="preserve">Heading 3: research context</w:t>
      </w:r>
    </w:p>
    <w:p w14:paraId="00000006">
      <w:pPr>
        <w:rPr/>
      </w:pPr>
      <w:r>
        <w:rPr/>
        <w:t xml:space="preserve">Academic writers and technical authors share one pain point — </w:t>
      </w:r>
      <w:r>
        <w:rPr>
          <w:b/>
          <w:bCs/>
        </w:rPr>
        <w:t xml:space="preserve">formatting cleanup</w:t>
      </w:r>
      <w:r>
        <w:rPr/>
        <w:t xml:space="preserve">. After the content is done, half the day is spent dragging styles from Markdown into Word. Folio is designed to eliminate that step.</w:t>
      </w:r>
    </w:p>
    <w:p w14:paraId="00000007">
      <w:pPr>
        <w:rPr/>
        <w:pStyle w:val="Heading4"/>
      </w:pPr>
      <w:r>
        <w:rPr/>
        <w:t xml:space="preserve">Heading 4: implementation note</w:t>
      </w:r>
    </w:p>
    <w:p w14:paraId="00000008">
      <w:pPr>
        <w:rPr/>
      </w:pPr>
      <w:r>
        <w:rPr/>
        <w:t xml:space="preserve">Folio uses a pure-Rust pipeline — no Pandoc dependency, no Python runtime required for the CLI or desktop app. Equations are emitted as native OMML, not images.</w:t>
      </w:r>
    </w:p>
    <w:p w14:paraId="00000009">
      <w:pPr>
        <w:rPr/>
        <w:pStyle w:val="Heading2"/>
      </w:pPr>
      <w:r>
        <w:rPr/>
        <w:t xml:space="preserve">Inline formatting</w:t>
      </w:r>
    </w:p>
    <w:p w14:paraId="0000000a">
      <w:pPr>
        <w:rPr/>
      </w:pPr>
      <w:r>
        <w:rPr/>
        <w:t xml:space="preserve">A paragraph with a forced line break here:</w:t>
      </w:r>
      <w:r>
        <w:rPr/>
        <w:br w:type="textWrapping"/>
      </w:r>
      <w:r>
        <w:rPr/>
        <w:t xml:space="preserve">The second sentence continues on the next line inside the same paragraph.</w:t>
      </w:r>
    </w:p>
    <w:p w14:paraId="0000000b">
      <w:pPr>
        <w:rPr/>
      </w:pPr>
      <w:r>
        <w:rPr/>
        <w:t xml:space="preserve">We support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 </w:t>
      </w:r>
      <w:r>
        <w:rPr>
          <w:strike/>
        </w:rPr>
        <w:t xml:space="preserve">strikethrough</w:t>
      </w:r>
      <w:r>
        <w:rPr/>
        <w:t xml:space="preserve">, </w:t>
      </w:r>
      <w:r>
        <w:rPr>
          <w:rFonts w:ascii="Menlo" w:hAnsi="Consolas" w:eastAsia="PingFang SC"/>
          <w:rStyle w:val="InlineCode"/>
        </w:rPr>
        <w:t xml:space="preserve">inline code</w:t>
      </w:r>
      <w:r>
        <w:rPr/>
        <w:t xml:space="preserve">, </w:t>
      </w:r>
      <w:r>
        <w:rPr>
          <w:color w:val="0563C1"/>
          <w:u w:val="single"/>
        </w:rPr>
        <w:t xml:space="preserve">hyperlinks</w:t>
      </w:r>
      <w:r>
        <w:rPr/>
        <w:t xml:space="preserve">, and inline math like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.</w:t>
      </w:r>
    </w:p>
    <w:p w14:paraId="0000000c">
      <w:pPr>
        <w:rPr/>
      </w:pPr>
      <w:r>
        <w:rPr/>
        <w:t xml:space="preserve">Mixed scripts: </w:t>
      </w:r>
      <w:r>
        <w:rPr>
          <w:b/>
          <w:bCs/>
        </w:rPr>
        <w:t xml:space="preserve">Markdown to Word</w:t>
      </w:r>
      <w:r>
        <w:rPr/>
        <w:t xml:space="preserve"> receives over 10,000 monthly searches, yet existing tools fail on </w:t>
      </w:r>
      <w:r>
        <w:rPr>
          <w:i/>
          <w:iCs/>
        </w:rPr>
        <w:t xml:space="preserve">equation rendering</w:t>
      </w:r>
      <w:r>
        <w:rPr/>
        <w:t xml:space="preserve"> almost universally.</w:t>
      </w:r>
    </w:p>
    <w:p w14:paraId="0000000d">
      <w:pPr>
        <w:rPr/>
        <w:pStyle w:val="Heading2"/>
      </w:pPr>
      <w:r>
        <w:rPr/>
        <w:t xml:space="preserve">Equations</w:t>
      </w:r>
    </w:p>
    <w:p w14:paraId="0000000e">
      <w:pPr>
        <w:rPr/>
      </w:pPr>
      <w:r>
        <w:rPr/>
        <w:t xml:space="preserve">Inline math: when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, the quadratic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has the solutions below.</w:t>
      </w:r>
    </w:p>
    <w:p w14:paraId="0000000f">
      <w:pPr>
        <w:rPr/>
      </w:pPr>
      <w:r>
        <w:rPr/>
        <w:t xml:space="preserve">Display math: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11">
      <w:pPr>
        <w:rPr/>
      </w:pPr>
      <w:r>
        <w:rPr/>
        <w:t xml:space="preserve">Einstein</w:t>
      </w:r>
      <w:r>
        <w:rPr/>
        <w:t xml:space="preserve">’</w:t>
      </w:r>
      <w:r>
        <w:rPr/>
        <w:t xml:space="preserve">s mass–energy equivalence: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13">
      <w:pPr>
        <w:rPr/>
      </w:pPr>
      <w:r>
        <w:rPr/>
        <w:t xml:space="preserve">Sums and integrals: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15">
      <w:pPr>
        <w:rPr/>
      </w:pPr>
      <w:r>
        <w:rPr/>
        <w:t xml:space="preserve">A matrix: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7">
      <w:pPr>
        <w:rPr/>
        <w:pStyle w:val="Heading2"/>
      </w:pPr>
      <w:r>
        <w:rPr/>
        <w:t xml:space="preserve">Code blocks</w:t>
      </w:r>
    </w:p>
    <w:p w14:paraId="00000018">
      <w:pPr>
        <w:rPr/>
      </w:pPr>
      <w:r>
        <w:rPr/>
        <w:t xml:space="preserve">Rust with syntax highlighting:</w:t>
      </w:r>
    </w:p>
    <w:p w14:paraId="00000019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greeting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Hello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b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greeting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d">
      <w:pPr>
        <w:rPr/>
      </w:pPr>
      <w:r>
        <w:rPr/>
        <w:t xml:space="preserve">Python example:</w:t>
      </w:r>
    </w:p>
    <w:p w14:paraId="0000001e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f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20">
      <w:pPr>
        <w:rPr/>
        <w:pStyle w:val="SourceCode"/>
      </w:pP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21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22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)</w:t>
      </w:r>
    </w:p>
    <w:p w14:paraId="00000023">
      <w:pPr>
        <w:rPr/>
      </w:pPr>
      <w:r>
        <w:rPr/>
        <w:t xml:space="preserve">JSON config:</w:t>
      </w:r>
    </w:p>
    <w:p w14:paraId="00000024">
      <w:pPr>
        <w:rPr/>
        <w:pStyle w:val="SourceCode"/>
      </w:pPr>
      <w:r>
        <w:rPr>
          <w:rFonts w:ascii="Menlo" w:hAnsi="Consolas" w:eastAsia="PingFang SC"/>
        </w:rPr>
        <w:t xml:space="preserve">{</w:t>
      </w:r>
    </w:p>
    <w:p w14:paraId="00000025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tool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6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version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0.2.1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7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features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[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math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tables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images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footnotes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]</w:t>
      </w:r>
    </w:p>
    <w:p w14:paraId="00000028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29">
      <w:pPr>
        <w:rPr/>
        <w:pStyle w:val="Heading2"/>
      </w:pPr>
      <w:r>
        <w:rPr/>
        <w:t xml:space="preserve">Tables</w:t>
      </w:r>
    </w:p>
    <w:p w14:paraId="0000002a">
      <w:pPr>
        <w:rPr/>
      </w:pPr>
      <w:r>
        <w:rPr/>
        <w:t xml:space="preserve">Aligned table (left / center / right columns):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2b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2c">
            <w:pPr>
              <w:rPr/>
              <w:pStyle w:val="TableHeader"/>
              <w:jc w:val="center"/>
            </w:pPr>
            <w:r>
              <w:rPr/>
              <w:t xml:space="preserve">Font</w:t>
            </w:r>
          </w:p>
        </w:tc>
        <w:tc>
          <w:tcPr/>
          <w:p w14:paraId="0000002d">
            <w:pPr>
              <w:rPr/>
              <w:pStyle w:val="TableHeader"/>
              <w:jc w:val="righ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2e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f">
            <w:pPr>
              <w:rPr/>
              <w:jc w:val="center"/>
            </w:pPr>
            <w:r>
              <w:rPr/>
              <w:t xml:space="preserve">Times New Roman 12pt</w:t>
            </w:r>
          </w:p>
        </w:tc>
        <w:tc>
          <w:tcPr/>
          <w:p w14:paraId="00000030">
            <w:pPr>
              <w:rPr/>
              <w:jc w:val="right"/>
            </w:pPr>
            <w:r>
              <w:rPr/>
              <w:t xml:space="preserve">English academic papers</w:t>
            </w:r>
          </w:p>
        </w:tc>
      </w:tr>
      <w:tr>
        <w:trPr/>
        <w:tc>
          <w:tcPr/>
          <w:p w14:paraId="0000003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32">
            <w:pPr>
              <w:rPr/>
              <w:jc w:val="center"/>
            </w:pPr>
            <w:r>
              <w:rPr/>
              <w:t xml:space="preserve">SimSun + SimHei headings</w:t>
            </w:r>
          </w:p>
        </w:tc>
        <w:tc>
          <w:tcPr/>
          <w:p w14:paraId="00000033">
            <w:pPr>
              <w:rPr/>
              <w:jc w:val="right"/>
            </w:pPr>
            <w:r>
              <w:rPr/>
              <w:t xml:space="preserve">Chinese theses</w:t>
            </w:r>
          </w:p>
        </w:tc>
      </w:tr>
      <w:tr>
        <w:trPr/>
        <w:tc>
          <w:tcPr/>
          <w:p w14:paraId="0000003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35">
            <w:pPr>
              <w:rPr/>
              <w:jc w:val="center"/>
            </w:pPr>
            <w:r>
              <w:rPr/>
              <w:t xml:space="preserve">Calibri with blue accents</w:t>
            </w:r>
          </w:p>
        </w:tc>
        <w:tc>
          <w:tcPr/>
          <w:p w14:paraId="00000036">
            <w:pPr>
              <w:rPr/>
              <w:jc w:val="right"/>
            </w:pPr>
            <w:r>
              <w:rPr/>
              <w:t xml:space="preserve">Business memos</w:t>
            </w:r>
          </w:p>
        </w:tc>
      </w:tr>
    </w:tbl>
    <w:p w14:paraId="00000037">
      <w:pPr>
        <w:rPr/>
        <w:pStyle w:val="Heading2"/>
      </w:pPr>
      <w:r>
        <w:rPr/>
        <w:t xml:space="preserve">Lists and tasks</w:t>
      </w:r>
    </w:p>
    <w:p w14:paraId="00000038">
      <w:pPr>
        <w:rPr/>
      </w:pPr>
      <w:r>
        <w:rPr/>
        <w:t xml:space="preserve">Unordered list with nesting:</w:t>
      </w:r>
    </w:p>
    <w:p w14:paraId="00000039">
      <w:pPr>
        <w:rPr/>
        <w:numPr>
          <w:numId w:val="1001"/>
          <w:ilvl w:val="0"/>
        </w:numPr>
      </w:pPr>
      <w:r>
        <w:rPr/>
        <w:t xml:space="preserve">Command-line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3a">
      <w:pPr>
        <w:rPr/>
        <w:numPr>
          <w:numId w:val="1002"/>
          <w:ilvl w:val="1"/>
        </w:numPr>
      </w:pPr>
      <w:r>
        <w:rPr/>
        <w:t xml:space="preserve">Convert a single file</w:t>
      </w:r>
    </w:p>
    <w:p w14:paraId="0000003b">
      <w:pPr>
        <w:rPr/>
        <w:numPr>
          <w:numId w:val="1002"/>
          <w:ilvl w:val="1"/>
        </w:numPr>
      </w:pPr>
      <w:r>
        <w:rPr/>
        <w:t xml:space="preserve">Batch convert with a shell loop</w:t>
      </w:r>
    </w:p>
    <w:p w14:paraId="0000003c">
      <w:pPr>
        <w:rPr/>
        <w:numPr>
          <w:numId w:val="1001"/>
          <w:ilvl w:val="0"/>
        </w:numPr>
      </w:pPr>
      <w:r>
        <w:rPr/>
        <w:t xml:space="preserve">Python package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3d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folio.convert()</w:t>
      </w:r>
      <w:r>
        <w:rPr/>
        <w:t xml:space="preserve"> — string to bytes</w:t>
      </w:r>
    </w:p>
    <w:p w14:paraId="0000003e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folio.convert_file()</w:t>
      </w:r>
      <w:r>
        <w:rPr/>
        <w:t xml:space="preserve"> — file to file</w:t>
      </w:r>
    </w:p>
    <w:p w14:paraId="0000003f">
      <w:pPr>
        <w:rPr/>
        <w:numPr>
          <w:numId w:val="1001"/>
          <w:ilvl w:val="0"/>
        </w:numPr>
      </w:pPr>
      <w:r>
        <w:rPr/>
        <w:t xml:space="preserve">Desktop application (Tauri)</w:t>
      </w:r>
    </w:p>
    <w:p w14:paraId="00000040">
      <w:pPr>
        <w:rPr/>
      </w:pPr>
      <w:r>
        <w:rPr/>
        <w:t xml:space="preserve">Ordered list:</w:t>
      </w:r>
    </w:p>
    <w:p w14:paraId="00000041">
      <w:pPr>
        <w:rPr/>
        <w:numPr>
          <w:numId w:val="1004"/>
          <w:ilvl w:val="0"/>
        </w:numPr>
      </w:pPr>
      <w:r>
        <w:rPr/>
        <w:t xml:space="preserve">Write Markdown</w:t>
      </w:r>
    </w:p>
    <w:p w14:paraId="00000042">
      <w:pPr>
        <w:rPr/>
        <w:numPr>
          <w:numId w:val="1004"/>
          <w:ilvl w:val="0"/>
        </w:numPr>
      </w:pPr>
      <w:r>
        <w:rPr/>
        <w:t xml:space="preserve">Pick a theme or supply a reference doc</w:t>
      </w:r>
    </w:p>
    <w:p w14:paraId="00000043">
      <w:pPr>
        <w:rPr/>
        <w:numPr>
          <w:numId w:val="1004"/>
          <w:ilvl w:val="0"/>
        </w:numPr>
      </w:pPr>
      <w:r>
        <w:rPr/>
        <w:t xml:space="preserve">Export to Word — </w:t>
      </w:r>
      <w:r>
        <w:rPr>
          <w:b/>
          <w:bCs/>
        </w:rPr>
        <w:t xml:space="preserve">no manual cleanup</w:t>
      </w:r>
    </w:p>
    <w:p w14:paraId="00000044">
      <w:pPr>
        <w:rPr/>
      </w:pPr>
      <w:r>
        <w:rPr/>
        <w:t xml:space="preserve">Task list:</w:t>
      </w:r>
    </w:p>
    <w:p w14:paraId="00000045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Markdown → native Word structures</w:t>
      </w:r>
    </w:p>
    <w:p w14:paraId="00000046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Built-in themes</w:t>
      </w:r>
    </w:p>
    <w:p w14:paraId="00000047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Reference-doc inherits styles + page setup</w:t>
      </w:r>
    </w:p>
    <w:p w14:paraId="00000048">
      <w:pPr>
        <w:rPr/>
        <w:numPr>
          <w:numId w:val="1005"/>
          <w:ilvl w:val="0"/>
        </w:numPr>
      </w:pPr>
      <w:r>
        <w:rPr/>
        <w:t xml:space="preserve">☐ </w:t>
      </w:r>
      <w:r>
        <w:rPr/>
        <w:t xml:space="preserve">Custom theme scaffolder (planned)</w:t>
      </w:r>
    </w:p>
    <w:p w14:paraId="00000049">
      <w:pPr>
        <w:rPr/>
        <w:pStyle w:val="Heading2"/>
      </w:pPr>
      <w:r>
        <w:rPr/>
        <w:t xml:space="preserve">Images</w:t>
      </w:r>
    </w:p>
    <w:p w14:paraId="0000004a">
      <w:pPr>
        <w:rPr/>
      </w:pPr>
      <w:r>
        <w:rPr/>
        <w:t xml:space="preserve">App icon (raster PNG):</w:t>
      </w:r>
    </w:p>
    <w:p w14:paraId="0000004b">
      <w:pPr>
        <w:rPr/>
      </w:pPr>
      <w:r>
        <w:rPr/>
        <w:drawing>
          <wp:inline distT="0" distB="0" distL="0" distR="0">
            <wp:extent cx="5600000" cy="560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rPr/>
      </w:pPr>
      <w:r>
        <w:rPr/>
        <w:t xml:space="preserve">Wide banner (SVG, auto-scaled to page width):</w:t>
      </w:r>
    </w:p>
    <w:p w14:paraId="0000004d">
      <w:pPr>
        <w:rPr/>
      </w:pPr>
      <w:r>
        <w:rPr/>
        <w:drawing>
          <wp:inline distT="0" distB="0" distL="0" distR="0">
            <wp:extent cx="5600000" cy="12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2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rPr/>
      </w:pPr>
      <w:r>
        <w:rPr/>
        <w:t xml:space="preserve">Layout diagram (SVG):</w:t>
      </w:r>
    </w:p>
    <w:p w14:paraId="0000004f">
      <w:pPr>
        <w:rPr/>
      </w:pPr>
      <w:r>
        <w:rPr/>
        <w:drawing>
          <wp:inline distT="0" distB="0" distL="0" distR="0">
            <wp:extent cx="5600000" cy="33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3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/>
        <w:pStyle w:val="Heading2"/>
      </w:pPr>
      <w:r>
        <w:rPr/>
        <w:t xml:space="preserve">Quotes and footnotes</w:t>
      </w:r>
    </w:p>
    <w:p w14:paraId="00000051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52">
      <w:pPr>
        <w:rPr/>
        <w:pStyle w:val="Quote"/>
      </w:pPr>
      <w:r>
        <w:rPr/>
        <w:t xml:space="preserve">— Folio project page</w:t>
      </w:r>
    </w:p>
    <w:p w14:paraId="00000053">
      <w:pPr>
        <w:rPr/>
      </w:pPr>
      <w:r>
        <w:rPr/>
        <w:t xml:space="preserve">Body text with a footnote</w:t>
      </w:r>
      <w:r>
        <w:rPr>
          <w:rStyle w:val="FootnoteReference"/>
        </w:rPr>
        <w:footnoteReference w:id="1"/>
      </w:r>
      <w:r>
        <w:rPr/>
        <w:t xml:space="preserve">, expanded at the document end.</w:t>
      </w:r>
    </w:p>
    <w:p w14:paraId="00000055">
      <w:pPr>
        <w:rPr/>
        <w:pStyle w:val="Heading2"/>
      </w:pPr>
      <w:r>
        <w:rPr/>
        <w:t xml:space="preserve">Horizontal rule</w:t>
      </w:r>
    </w:p>
    <w:p w14:paraId="00000056">
      <w:pPr>
        <w:rPr/>
      </w:pPr>
      <w:r>
        <w:rPr/>
        <w:t xml:space="preserve">The line below is 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:</w:t>
      </w:r>
    </w:p>
    <w:p w14:paraId="00000057">
      <w:pPr>
        <w:rPr/>
        <w:pStyle w:val="HorizontalRule"/>
      </w:pPr>
    </w:p>
    <w:p w14:paraId="00000058">
      <w:pPr>
        <w:rPr/>
      </w:pPr>
      <w:r>
        <w:rPr/>
        <w:t xml:space="preserve">End of demo. Try it:</w:t>
      </w:r>
    </w:p>
    <w:p w14:paraId="00000059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demo-en.md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demo-en.docx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academic</w:t>
      </w:r>
    </w:p>
    <w:sectPr>
      <w:type w:val="nextPage"/>
      <w:pgSz w:w="11906" w:h="16838"/>
      <w:pgMar w:left="2494" w:right="2494" w:gutter="0" w:header="0" w:top="2948" w:footer="0" w:bottom="2948"/>
      <w:pgNumType w:fmt="decimal"/>
      <w:formProt w:val="false"/>
      <w:titlePg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1">
    <w:p w14:paraId="00000054">
      <w:pPr>
        <w:rPr/>
      </w:pPr>
      <w:r>
        <w:rPr/>
        <w:t xml:space="preserve">Footnotes become native Word footnotes — not in-page links — so they survive copy-paste into other Word documents.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1"/>
  </w:num>
  <w:num w:numId="1003">
    <w:abstractNumId w:val="101"/>
  </w:num>
  <w:num w:numId="1004">
    <w:abstractNumId w:val="102"/>
  </w:num>
  <w:num w:numId="1005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overflowPunct w:val="false"/>
      <w:autoSpaceDE w:val="false"/>
      <w:bidi w:val="0"/>
      <w:spacing w:lineRule="atLeast" w:line="240"/>
      <w:ind w:firstLine="227" w:start="0" w:end="0"/>
      <w:jc w:val="both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lineRule="atLeast" w:line="300" w:before="360" w:after="240"/>
      <w:ind w:hanging="567" w:start="567" w:end="0"/>
      <w:jc w:val="start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uppressAutoHyphens w:val="true"/>
      <w:spacing w:before="360" w:after="160"/>
      <w:ind w:hanging="567" w:start="567" w:end="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360" w:after="0"/>
      <w:ind w:hanging="0" w:start="0" w:end="0"/>
      <w:outlineLvl w:val="2"/>
    </w:pPr>
    <w:rPr/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before="240" w:after="0"/>
      <w:ind w:hanging="0" w:start="0" w:end="0"/>
      <w:outlineLvl w:val="3"/>
    </w:pPr>
    <w:rPr/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start="0" w:end="0"/>
      <w:outlineLvl w:val="4"/>
    </w:pPr>
    <w:rPr/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0"/>
      <w:ind w:hanging="0" w:start="0" w:end="0"/>
      <w:outlineLvl w:val="5"/>
    </w:pPr>
    <w:rPr/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0"/>
      <w:ind w:hanging="0" w:start="0" w:end="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0"/>
      <w:ind w:hanging="0" w:start="0" w:end="0"/>
      <w:outlineLvl w:val="7"/>
    </w:pPr>
    <w:rPr/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0"/>
      <w:ind w:hanging="0" w:start="0" w:end="0"/>
      <w:outlineLvl w:val="8"/>
    </w:pPr>
    <w:rPr/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Times New Roman" w:hAnsi="Times New Roman" w:cs="Times New Roman"/>
    </w:rPr>
  </w:style>
  <w:style w:type="character" w:styleId="WW8Num8z2">
    <w:name w:val="WW8Num8z2"/>
    <w:qFormat/>
    <w:rPr>
      <w:rFonts w:ascii="Courier New" w:hAnsi="Courier New" w:cs="Courier New"/>
    </w:rPr>
  </w:style>
  <w:style w:type="character" w:styleId="WW8Num8z3">
    <w:name w:val="WW8Num8z3"/>
    <w:qFormat/>
    <w:rPr>
      <w:rFonts w:ascii="Wingdings" w:hAnsi="Wingdings" w:cs="Wingdings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9z1">
    <w:name w:val="WW8Num9z1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0z4">
    <w:name w:val="WW8Num10z4"/>
    <w:qFormat/>
    <w:rPr>
      <w:rFonts w:ascii="Times New Roman" w:hAnsi="Times New Roman" w:cs="Times New Roman"/>
      <w:b w:val="false"/>
      <w:i/>
      <w:sz w:val="20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Absatz-Standardschriftart">
    <w:name w:val="Absatz-Standardschriftart"/>
    <w:qFormat/>
    <w:rPr/>
  </w:style>
  <w:style w:type="character" w:styleId="e-mail">
    <w:name w:val="e-mail"/>
    <w:basedOn w:val="Absatz-Standardschriftart"/>
    <w:qFormat/>
    <w:rPr>
      <w:rFonts w:ascii="Courier" w:hAnsi="Courier" w:cs="Courier"/>
      <w:spacing w:val="-6"/>
      <w:lang w:val="en-US" w:eastAsia="zh-CN"/>
    </w:rPr>
  </w:style>
  <w:style w:type="character" w:styleId="FootnoteCharacters">
    <w:name w:val="Footnote Characters"/>
    <w:basedOn w:val="Absatz-Standardschriftart"/>
    <w:qFormat/>
    <w:rPr>
      <w:vertAlign w:val="superscript"/>
    </w:rPr>
  </w:style>
  <w:style w:type="character" w:styleId="heading31">
    <w:name w:val="heading3"/>
    <w:basedOn w:val="Absatz-Standardschriftart"/>
    <w:qFormat/>
    <w:rPr>
      <w:b/>
    </w:rPr>
  </w:style>
  <w:style w:type="character" w:styleId="heading41">
    <w:name w:val="heading4"/>
    <w:basedOn w:val="Absatz-Standardschriftart"/>
    <w:qFormat/>
    <w:rPr>
      <w:i/>
    </w:rPr>
  </w:style>
  <w:style w:type="character" w:styleId="Hyperlink">
    <w:name w:val="Hyperlink"/>
    <w:basedOn w:val="Absatz-Standardschriftart"/>
    <w:rPr>
      <w:color w:val="000000"/>
      <w:u w:val="none"/>
    </w:rPr>
  </w:style>
  <w:style w:type="character" w:styleId="PageNumber">
    <w:name w:val="page number"/>
    <w:basedOn w:val="Absatz-Standardschriftart"/>
    <w:rPr>
      <w:sz w:val="18"/>
    </w:rPr>
  </w:style>
  <w:style w:type="character" w:styleId="url">
    <w:name w:val="url"/>
    <w:basedOn w:val="Absatz-Standardschriftart"/>
    <w:qFormat/>
    <w:rPr>
      <w:rFonts w:ascii="Courier" w:hAnsi="Courier" w:cs="Courier"/>
      <w:lang w:val="en-US" w:eastAsia="zh-C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bstract">
    <w:name w:val="abstract"/>
    <w:basedOn w:val="Normal"/>
    <w:qFormat/>
    <w:pPr>
      <w:spacing w:lineRule="atLeast" w:line="220" w:before="600" w:after="360"/>
      <w:ind w:hanging="0" w:start="567" w:end="567"/>
      <w:contextualSpacing/>
    </w:pPr>
    <w:rPr>
      <w:sz w:val="18"/>
      <w:szCs w:val="20"/>
    </w:rPr>
  </w:style>
  <w:style w:type="paragraph" w:styleId="address">
    <w:name w:val="address"/>
    <w:basedOn w:val="Normal"/>
    <w:qFormat/>
    <w:pPr>
      <w:suppressAutoHyphens w:val="true"/>
      <w:spacing w:lineRule="atLeast" w:line="220" w:before="0" w:after="200"/>
      <w:ind w:hanging="0" w:start="0" w:end="0"/>
      <w:contextualSpacing/>
      <w:jc w:val="center"/>
    </w:pPr>
    <w:rPr>
      <w:sz w:val="18"/>
    </w:rPr>
  </w:style>
  <w:style w:type="paragraph" w:styleId="author">
    <w:name w:val="author"/>
    <w:basedOn w:val="Normal"/>
    <w:next w:val="address"/>
    <w:qFormat/>
    <w:pPr>
      <w:suppressAutoHyphens w:val="true"/>
      <w:spacing w:before="0" w:after="200"/>
      <w:ind w:hanging="0" w:start="0" w:end="0"/>
      <w:jc w:val="center"/>
    </w:pPr>
    <w:rPr>
      <w:sz w:val="20"/>
      <w:szCs w:val="20"/>
    </w:rPr>
  </w:style>
  <w:style w:type="paragraph" w:styleId="bulletitem">
    <w:name w:val="bulletitem"/>
    <w:basedOn w:val="Normal"/>
    <w:qFormat/>
    <w:pPr>
      <w:numPr>
        <w:ilvl w:val="0"/>
        <w:numId w:val="5"/>
      </w:numPr>
      <w:spacing w:before="160" w:after="160"/>
      <w:contextualSpacing/>
    </w:pPr>
    <w:rPr/>
  </w:style>
  <w:style w:type="paragraph" w:styleId="dashitem">
    <w:name w:val="dashitem"/>
    <w:basedOn w:val="Normal"/>
    <w:qFormat/>
    <w:pPr>
      <w:numPr>
        <w:ilvl w:val="0"/>
        <w:numId w:val="6"/>
      </w:numPr>
      <w:spacing w:before="160" w:after="160"/>
      <w:contextualSpacing/>
    </w:pPr>
    <w:rPr/>
  </w:style>
  <w:style w:type="paragraph" w:styleId="equation">
    <w:name w:val="equation"/>
    <w:basedOn w:val="Normal"/>
    <w:next w:val="Normal"/>
    <w:qFormat/>
    <w:pPr>
      <w:tabs>
        <w:tab w:val="clear" w:pos="708"/>
        <w:tab w:val="center" w:pos="3289" w:leader="none"/>
        <w:tab w:val="right" w:pos="6917" w:leader="none"/>
      </w:tabs>
      <w:spacing w:before="160" w:after="160"/>
      <w:ind w:hanging="0" w:start="0" w:end="0"/>
    </w:pPr>
    <w:rPr>
      <w:sz w:val="20"/>
      <w:szCs w:val="20"/>
    </w:rPr>
  </w:style>
  <w:style w:type="paragraph" w:styleId="figurecaption">
    <w:name w:val="figurecaption"/>
    <w:basedOn w:val="Normal"/>
    <w:next w:val="Normal"/>
    <w:qFormat/>
    <w:pPr>
      <w:keepLines/>
      <w:spacing w:lineRule="atLeast" w:line="220" w:before="120" w:after="240"/>
      <w:ind w:hanging="0" w:start="0" w:end="0"/>
      <w:jc w:val="center"/>
    </w:pPr>
    <w:rPr>
      <w:sz w:val="18"/>
    </w:rPr>
  </w:style>
  <w:style w:type="paragraph" w:styleId="p1a">
    <w:name w:val="p1a"/>
    <w:basedOn w:val="Normal"/>
    <w:qFormat/>
    <w:pPr>
      <w:ind w:hanging="0" w:start="0" w:end="0"/>
    </w:pPr>
    <w:rPr/>
  </w:style>
  <w:style w:type="paragraph" w:styleId="heading11">
    <w:name w:val="heading1"/>
    <w:basedOn w:val="Heading1"/>
    <w:next w:val="Normal"/>
    <w:qFormat/>
    <w:pPr>
      <w:numPr>
        <w:ilvl w:val="0"/>
        <w:numId w:val="7"/>
      </w:numPr>
      <w:tabs>
        <w:tab w:val="clear" w:pos="708"/>
        <w:tab w:val="left" w:pos="567" w:leader="none"/>
      </w:tabs>
      <w:outlineLvl w:val="9"/>
    </w:pPr>
    <w:rPr>
      <w:rFonts w:ascii="Times New Roman" w:hAnsi="Times New Roman" w:cs="Times New Roman"/>
      <w:bCs/>
      <w:kern w:val="0"/>
      <w:sz w:val="24"/>
      <w:szCs w:val="20"/>
    </w:rPr>
  </w:style>
  <w:style w:type="paragraph" w:styleId="heading21">
    <w:name w:val="heading2"/>
    <w:basedOn w:val="Heading2"/>
    <w:next w:val="Normal"/>
    <w:qFormat/>
    <w:pPr>
      <w:numPr>
        <w:ilvl w:val="0"/>
        <w:numId w:val="7"/>
      </w:numPr>
      <w:outlineLvl w:val="9"/>
    </w:pPr>
    <w:rPr>
      <w:bCs/>
      <w:iCs/>
    </w:rPr>
  </w:style>
  <w:style w:type="paragraph" w:styleId="image">
    <w:name w:val="image"/>
    <w:basedOn w:val="Normal"/>
    <w:next w:val="Normal"/>
    <w:qFormat/>
    <w:pPr>
      <w:spacing w:before="240" w:after="120"/>
      <w:ind w:hanging="0" w:start="0" w:end="0"/>
      <w:jc w:val="center"/>
    </w:pPr>
    <w:rPr>
      <w:sz w:val="20"/>
      <w:szCs w:val="20"/>
    </w:rPr>
  </w:style>
  <w:style w:type="paragraph" w:styleId="keywords">
    <w:name w:val="keywords"/>
    <w:basedOn w:val="abstract"/>
    <w:next w:val="heading11"/>
    <w:qFormat/>
    <w:pPr>
      <w:spacing w:before="220" w:after="360"/>
      <w:contextualSpacing w:val="false"/>
    </w:pPr>
    <w:rPr/>
  </w:style>
  <w:style w:type="paragraph" w:styleId="numitem">
    <w:name w:val="numitem"/>
    <w:basedOn w:val="Normal"/>
    <w:qFormat/>
    <w:pPr>
      <w:numPr>
        <w:ilvl w:val="0"/>
        <w:numId w:val="4"/>
      </w:numPr>
      <w:spacing w:before="160" w:after="160"/>
      <w:contextualSpacing/>
    </w:pPr>
    <w:rPr>
      <w:sz w:val="20"/>
      <w:szCs w:val="20"/>
    </w:rPr>
  </w:style>
  <w:style w:type="paragraph" w:styleId="FootnoteText">
    <w:name w:val="footnote text"/>
    <w:basedOn w:val="Normal"/>
    <w:pPr>
      <w:spacing w:lineRule="atLeast" w:line="220"/>
      <w:ind w:hanging="227" w:start="227" w:end="0"/>
    </w:pPr>
    <w:rPr>
      <w:sz w:val="18"/>
    </w:rPr>
  </w:style>
  <w:style w:type="paragraph" w:styleId="programcode">
    <w:name w:val="programcode"/>
    <w:basedOn w:val="Normal"/>
    <w:qFormat/>
    <w:pPr>
      <w:tabs>
        <w:tab w:val="clear" w:pos="708"/>
        <w:tab w:val="left" w:pos="227" w:leader="none"/>
        <w:tab w:val="left" w:pos="454" w:leader="none"/>
        <w:tab w:val="left" w:pos="680" w:leader="none"/>
        <w:tab w:val="left" w:pos="907" w:leader="none"/>
        <w:tab w:val="left" w:pos="1134" w:leader="none"/>
        <w:tab w:val="left" w:pos="1361" w:leader="none"/>
        <w:tab w:val="left" w:pos="1588" w:leader="none"/>
        <w:tab w:val="left" w:pos="1814" w:leader="none"/>
        <w:tab w:val="left" w:pos="2041" w:leader="none"/>
        <w:tab w:val="left" w:pos="2268" w:leader="none"/>
        <w:tab w:val="left" w:pos="2495" w:leader="none"/>
        <w:tab w:val="left" w:pos="2722" w:leader="none"/>
        <w:tab w:val="left" w:pos="2948" w:leader="none"/>
        <w:tab w:val="left" w:pos="3175" w:leader="none"/>
        <w:tab w:val="left" w:pos="3402" w:leader="none"/>
        <w:tab w:val="left" w:pos="3629" w:leader="none"/>
        <w:tab w:val="left" w:pos="3856" w:leader="none"/>
        <w:tab w:val="left" w:pos="4082" w:leader="none"/>
        <w:tab w:val="left" w:pos="4309" w:leader="none"/>
        <w:tab w:val="left" w:pos="4536" w:leader="none"/>
        <w:tab w:val="left" w:pos="4763" w:leader="none"/>
        <w:tab w:val="left" w:pos="4990" w:leader="none"/>
        <w:tab w:val="left" w:pos="5216" w:leader="none"/>
        <w:tab w:val="left" w:pos="5443" w:leader="none"/>
        <w:tab w:val="left" w:pos="5670" w:leader="none"/>
        <w:tab w:val="left" w:pos="5897" w:leader="none"/>
        <w:tab w:val="left" w:pos="6124" w:leader="none"/>
        <w:tab w:val="left" w:pos="6350" w:leader="none"/>
        <w:tab w:val="left" w:pos="6577" w:leader="none"/>
      </w:tabs>
      <w:spacing w:before="160" w:after="160"/>
      <w:ind w:hanging="0" w:start="0" w:end="0"/>
      <w:contextualSpacing/>
      <w:jc w:val="start"/>
    </w:pPr>
    <w:rPr>
      <w:rFonts w:ascii="Courier" w:hAnsi="Courier" w:cs="Courier"/>
      <w:sz w:val="20"/>
      <w:szCs w:val="20"/>
    </w:rPr>
  </w:style>
  <w:style w:type="paragraph" w:styleId="referenceitem">
    <w:name w:val="referenceitem"/>
    <w:basedOn w:val="Normal"/>
    <w:qFormat/>
    <w:pPr>
      <w:numPr>
        <w:ilvl w:val="0"/>
        <w:numId w:val="8"/>
      </w:numPr>
      <w:tabs>
        <w:tab w:val="clear" w:pos="708"/>
        <w:tab w:val="left" w:pos="341" w:leader="none"/>
      </w:tabs>
      <w:spacing w:lineRule="atLeast" w:line="220"/>
      <w:ind w:hanging="114" w:start="341" w:end="0"/>
    </w:pPr>
    <w:rPr>
      <w:sz w:val="18"/>
      <w:szCs w:val="20"/>
    </w:rPr>
  </w:style>
  <w:style w:type="paragraph" w:styleId="runninghead-left">
    <w:name w:val="running head - left"/>
    <w:basedOn w:val="Normal"/>
    <w:qFormat/>
    <w:pPr>
      <w:ind w:hanging="0" w:start="0" w:end="0"/>
      <w:jc w:val="start"/>
    </w:pPr>
    <w:rPr>
      <w:sz w:val="18"/>
      <w:szCs w:val="18"/>
    </w:rPr>
  </w:style>
  <w:style w:type="paragraph" w:styleId="runninghead-right">
    <w:name w:val="running head - right"/>
    <w:basedOn w:val="Normal"/>
    <w:qFormat/>
    <w:pPr>
      <w:ind w:hanging="0" w:start="0" w:end="0"/>
      <w:jc w:val="end"/>
    </w:pPr>
    <w:rPr>
      <w:bCs/>
      <w:sz w:val="18"/>
      <w:szCs w:val="18"/>
    </w:rPr>
  </w:style>
  <w:style w:type="paragraph" w:styleId="title">
    <w:name w:val="title"/>
    <w:basedOn w:val="Normal"/>
    <w:next w:val="author"/>
    <w:qFormat/>
    <w:pPr>
      <w:keepNext w:val="true"/>
      <w:keepLines/>
      <w:suppressAutoHyphens w:val="true"/>
      <w:spacing w:lineRule="atLeast" w:line="360" w:before="0" w:after="480"/>
      <w:ind w:hanging="0" w:start="0" w:end="0"/>
      <w:jc w:val="center"/>
    </w:pPr>
    <w:rPr>
      <w:b/>
      <w:sz w:val="28"/>
    </w:rPr>
  </w:style>
  <w:style w:type="paragraph" w:styleId="subtitle">
    <w:name w:val="subtitle"/>
    <w:basedOn w:val="title"/>
    <w:next w:val="author"/>
    <w:qFormat/>
    <w:pPr>
      <w:spacing w:lineRule="atLeast" w:line="280" w:before="120" w:after="480"/>
    </w:pPr>
    <w:rPr>
      <w:sz w:val="24"/>
    </w:rPr>
  </w:style>
  <w:style w:type="paragraph" w:styleId="tablecaption">
    <w:name w:val="tablecaption"/>
    <w:basedOn w:val="Normal"/>
    <w:next w:val="Normal"/>
    <w:qFormat/>
    <w:pPr>
      <w:keepNext w:val="true"/>
      <w:keepLines/>
      <w:spacing w:lineRule="atLeast" w:line="220" w:before="240" w:after="120"/>
      <w:ind w:hanging="0" w:start="0" w:end="0"/>
      <w:jc w:val="center"/>
    </w:pPr>
    <w:rPr>
      <w:sz w:val="18"/>
      <w:lang w:val="de-DE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Aufzhlungszeichen">
    <w:name w:val="Aufzählungszeichen"/>
    <w:basedOn w:val="Normal"/>
    <w:qFormat/>
    <w:pPr>
      <w:numPr>
        <w:ilvl w:val="0"/>
        <w:numId w:val="3"/>
      </w:numPr>
      <w:spacing w:before="120" w:after="120"/>
      <w:contextualSpacing/>
    </w:pPr>
    <w:rPr/>
  </w:style>
  <w:style w:type="paragraph" w:styleId="Listennummer">
    <w:name w:val="Listennummer"/>
    <w:basedOn w:val="Normal"/>
    <w:qFormat/>
    <w:pPr>
      <w:numPr>
        <w:ilvl w:val="0"/>
        <w:numId w:val="2"/>
      </w:numPr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  <w:ind w:hanging="0" w:start="0" w:end="0"/>
    </w:pPr>
    <w:rPr>
      <w:sz w:val="18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Image1" Type="http://schemas.openxmlformats.org/officeDocument/2006/relationships/image" Target="media/rIdImage1.png" /><Relationship Id="rIdImage2" Type="http://schemas.openxmlformats.org/officeDocument/2006/relationships/image" Target="media/rIdImage2.png" /><Relationship Id="rIdImage3" Type="http://schemas.openxmlformats.org/officeDocument/2006/relationships/image" Target="media/rIdImage3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