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D5350" w14:textId="77777777" w:rsidR="006628F5" w:rsidRPr="006628F5" w:rsidRDefault="006628F5" w:rsidP="006628F5">
      <w:pPr>
        <w:jc w:val="center"/>
        <w:rPr>
          <w:b/>
          <w:bCs/>
          <w:sz w:val="44"/>
          <w:szCs w:val="44"/>
          <w:lang w:val="en-US"/>
        </w:rPr>
      </w:pPr>
      <w:r w:rsidRPr="006628F5">
        <w:rPr>
          <w:b/>
          <w:bCs/>
          <w:sz w:val="44"/>
          <w:szCs w:val="44"/>
          <w:lang w:val="en-US"/>
        </w:rPr>
        <w:t>DocuMed Ai Privacy and Security (HIPAA)</w:t>
      </w:r>
    </w:p>
    <w:p w14:paraId="7F01E685" w14:textId="77777777" w:rsidR="006628F5" w:rsidRPr="006628F5" w:rsidRDefault="006628F5" w:rsidP="006628F5">
      <w:pPr>
        <w:rPr>
          <w:lang w:val="en-US"/>
        </w:rPr>
      </w:pPr>
      <w:r w:rsidRPr="006628F5">
        <w:rPr>
          <w:lang w:val="en-US"/>
        </w:rPr>
        <w:t xml:space="preserve">At </w:t>
      </w:r>
      <w:r w:rsidRPr="006628F5">
        <w:rPr>
          <w:b/>
          <w:bCs/>
          <w:lang w:val="en-US"/>
        </w:rPr>
        <w:t>DocuMed Ai</w:t>
      </w:r>
      <w:r w:rsidRPr="006628F5">
        <w:rPr>
          <w:lang w:val="en-US"/>
        </w:rPr>
        <w:t>, maintaining the trust of clinicians and patients is our highest priority, and security underpins all aspects of our services. We rigorously adhere to HIPAA security standards in collecting and processing all patient data, ensuring comprehensive protection at every stage.</w:t>
      </w:r>
    </w:p>
    <w:p w14:paraId="06F580F1" w14:textId="77777777" w:rsidR="006628F5" w:rsidRPr="006628F5" w:rsidRDefault="006628F5" w:rsidP="006628F5">
      <w:pPr>
        <w:rPr>
          <w:lang w:val="en-US"/>
        </w:rPr>
      </w:pPr>
      <w:r w:rsidRPr="006628F5">
        <w:rPr>
          <w:b/>
          <w:bCs/>
          <w:sz w:val="36"/>
          <w:szCs w:val="36"/>
          <w:lang w:val="en-US"/>
        </w:rPr>
        <w:t>Internal Personnel Security</w:t>
      </w:r>
      <w:r w:rsidRPr="006628F5">
        <w:rPr>
          <w:lang w:val="en-US"/>
        </w:rPr>
        <w:br/>
        <w:t>All DocuMed Ai employees must:</w:t>
      </w:r>
    </w:p>
    <w:p w14:paraId="13606483" w14:textId="77777777" w:rsidR="006628F5" w:rsidRPr="006628F5" w:rsidRDefault="006628F5" w:rsidP="006628F5">
      <w:pPr>
        <w:numPr>
          <w:ilvl w:val="0"/>
          <w:numId w:val="10"/>
        </w:numPr>
        <w:rPr>
          <w:lang w:val="en-US"/>
        </w:rPr>
      </w:pPr>
      <w:r w:rsidRPr="006628F5">
        <w:rPr>
          <w:lang w:val="en-US"/>
        </w:rPr>
        <w:t>Undergo thorough background checks before employment.</w:t>
      </w:r>
    </w:p>
    <w:p w14:paraId="73FCA996" w14:textId="77777777" w:rsidR="006628F5" w:rsidRPr="006628F5" w:rsidRDefault="006628F5" w:rsidP="006628F5">
      <w:pPr>
        <w:numPr>
          <w:ilvl w:val="0"/>
          <w:numId w:val="10"/>
        </w:numPr>
        <w:rPr>
          <w:lang w:val="en-US"/>
        </w:rPr>
      </w:pPr>
      <w:r w:rsidRPr="006628F5">
        <w:rPr>
          <w:lang w:val="en-US"/>
        </w:rPr>
        <w:t>Complete annual security awareness training focused on HIPAA compliance, privacy practices, and information classification.</w:t>
      </w:r>
    </w:p>
    <w:p w14:paraId="3F02E1F1" w14:textId="77777777" w:rsidR="006628F5" w:rsidRPr="006628F5" w:rsidRDefault="006628F5" w:rsidP="006628F5">
      <w:pPr>
        <w:rPr>
          <w:lang w:val="en-US"/>
        </w:rPr>
      </w:pPr>
      <w:r w:rsidRPr="006628F5">
        <w:rPr>
          <w:b/>
          <w:bCs/>
          <w:sz w:val="36"/>
          <w:szCs w:val="36"/>
          <w:lang w:val="en-US"/>
        </w:rPr>
        <w:t>Compliance</w:t>
      </w:r>
    </w:p>
    <w:p w14:paraId="6CA2BD87" w14:textId="77777777" w:rsidR="006628F5" w:rsidRPr="006628F5" w:rsidRDefault="006628F5" w:rsidP="006628F5">
      <w:pPr>
        <w:numPr>
          <w:ilvl w:val="0"/>
          <w:numId w:val="11"/>
        </w:numPr>
        <w:rPr>
          <w:lang w:val="en-US"/>
        </w:rPr>
      </w:pPr>
      <w:r w:rsidRPr="006628F5">
        <w:rPr>
          <w:lang w:val="en-US"/>
        </w:rPr>
        <w:t>Regular risk assessments are conducted to ensure our policies remain current and effective.</w:t>
      </w:r>
    </w:p>
    <w:p w14:paraId="3A4DE239" w14:textId="77777777" w:rsidR="006628F5" w:rsidRPr="006628F5" w:rsidRDefault="006628F5" w:rsidP="006628F5">
      <w:pPr>
        <w:numPr>
          <w:ilvl w:val="0"/>
          <w:numId w:val="11"/>
        </w:numPr>
        <w:rPr>
          <w:lang w:val="en-US"/>
        </w:rPr>
      </w:pPr>
      <w:r w:rsidRPr="006628F5">
        <w:rPr>
          <w:lang w:val="en-US"/>
        </w:rPr>
        <w:t>Our Chief Technology Officer (CTO) oversees all privacy and security measures.</w:t>
      </w:r>
    </w:p>
    <w:p w14:paraId="58EC7A0D" w14:textId="77777777" w:rsidR="006628F5" w:rsidRPr="006628F5" w:rsidRDefault="006628F5" w:rsidP="006628F5">
      <w:pPr>
        <w:numPr>
          <w:ilvl w:val="0"/>
          <w:numId w:val="11"/>
        </w:numPr>
        <w:rPr>
          <w:lang w:val="en-US"/>
        </w:rPr>
      </w:pPr>
      <w:r w:rsidRPr="006628F5">
        <w:rPr>
          <w:lang w:val="en-US"/>
        </w:rPr>
        <w:t>We maintain strict compliance with HIPAA regulations to guarantee the highest standards of data protection.</w:t>
      </w:r>
    </w:p>
    <w:p w14:paraId="03131A4B" w14:textId="77777777" w:rsidR="006628F5" w:rsidRPr="006628F5" w:rsidRDefault="006628F5" w:rsidP="006628F5">
      <w:pPr>
        <w:rPr>
          <w:b/>
          <w:bCs/>
          <w:sz w:val="36"/>
          <w:szCs w:val="36"/>
          <w:lang w:val="en-US"/>
        </w:rPr>
      </w:pPr>
      <w:r w:rsidRPr="006628F5">
        <w:rPr>
          <w:b/>
          <w:bCs/>
          <w:sz w:val="36"/>
          <w:szCs w:val="36"/>
          <w:lang w:val="en-US"/>
        </w:rPr>
        <w:t>Secure Development Lifecycle</w:t>
      </w:r>
    </w:p>
    <w:p w14:paraId="0EE4735C" w14:textId="77777777" w:rsidR="006628F5" w:rsidRPr="006628F5" w:rsidRDefault="006628F5" w:rsidP="006628F5">
      <w:pPr>
        <w:numPr>
          <w:ilvl w:val="0"/>
          <w:numId w:val="12"/>
        </w:numPr>
        <w:rPr>
          <w:lang w:val="en-US"/>
        </w:rPr>
      </w:pPr>
      <w:r w:rsidRPr="006628F5">
        <w:rPr>
          <w:lang w:val="en-US"/>
        </w:rPr>
        <w:t>All software modifications undergo rigorous compliance reviews.</w:t>
      </w:r>
    </w:p>
    <w:p w14:paraId="6D2A482B" w14:textId="77777777" w:rsidR="006628F5" w:rsidRPr="006628F5" w:rsidRDefault="006628F5" w:rsidP="006628F5">
      <w:pPr>
        <w:numPr>
          <w:ilvl w:val="0"/>
          <w:numId w:val="12"/>
        </w:numPr>
        <w:rPr>
          <w:lang w:val="en-US"/>
        </w:rPr>
      </w:pPr>
      <w:r w:rsidRPr="006628F5">
        <w:rPr>
          <w:lang w:val="en-US"/>
        </w:rPr>
        <w:t>We employ infrastructure-as-code principles, with all infrastructure changes subjected to detailed reviews prior to deployment.</w:t>
      </w:r>
    </w:p>
    <w:p w14:paraId="0A1F8FDD" w14:textId="77777777" w:rsidR="006628F5" w:rsidRPr="006628F5" w:rsidRDefault="006628F5" w:rsidP="006628F5">
      <w:pPr>
        <w:numPr>
          <w:ilvl w:val="0"/>
          <w:numId w:val="12"/>
        </w:numPr>
        <w:rPr>
          <w:lang w:val="en-US"/>
        </w:rPr>
      </w:pPr>
      <w:r w:rsidRPr="006628F5">
        <w:rPr>
          <w:lang w:val="en-US"/>
        </w:rPr>
        <w:t>Engineers receive specialized training in secure development practices.</w:t>
      </w:r>
    </w:p>
    <w:p w14:paraId="77DEB6AC" w14:textId="77777777" w:rsidR="006628F5" w:rsidRPr="006628F5" w:rsidRDefault="006628F5" w:rsidP="006628F5">
      <w:pPr>
        <w:rPr>
          <w:b/>
          <w:bCs/>
          <w:sz w:val="36"/>
          <w:szCs w:val="36"/>
          <w:lang w:val="en-US"/>
        </w:rPr>
      </w:pPr>
      <w:r w:rsidRPr="006628F5">
        <w:rPr>
          <w:b/>
          <w:bCs/>
          <w:sz w:val="36"/>
          <w:szCs w:val="36"/>
          <w:lang w:val="en-US"/>
        </w:rPr>
        <w:t>Cloud Hosting and Availability</w:t>
      </w:r>
    </w:p>
    <w:p w14:paraId="3612D6D3" w14:textId="77777777" w:rsidR="006628F5" w:rsidRPr="006628F5" w:rsidRDefault="006628F5" w:rsidP="006628F5">
      <w:pPr>
        <w:numPr>
          <w:ilvl w:val="0"/>
          <w:numId w:val="13"/>
        </w:numPr>
        <w:rPr>
          <w:lang w:val="en-US"/>
        </w:rPr>
      </w:pPr>
      <w:r w:rsidRPr="006628F5">
        <w:rPr>
          <w:lang w:val="en-US"/>
        </w:rPr>
        <w:t>All data storage and processing occur within secure Amazon Web Services (AWS) data centers.</w:t>
      </w:r>
    </w:p>
    <w:p w14:paraId="0BC83DB0" w14:textId="77777777" w:rsidR="006628F5" w:rsidRPr="006628F5" w:rsidRDefault="006628F5" w:rsidP="006628F5">
      <w:pPr>
        <w:numPr>
          <w:ilvl w:val="0"/>
          <w:numId w:val="13"/>
        </w:numPr>
        <w:rPr>
          <w:lang w:val="en-US"/>
        </w:rPr>
      </w:pPr>
      <w:r w:rsidRPr="006628F5">
        <w:rPr>
          <w:lang w:val="en-US"/>
        </w:rPr>
        <w:t>We maintain a HIPAA Business Associate Agreement (BAA) and Data Processing Agreement (DPA) with AWS.</w:t>
      </w:r>
    </w:p>
    <w:p w14:paraId="1BF34508" w14:textId="77777777" w:rsidR="006628F5" w:rsidRPr="006628F5" w:rsidRDefault="006628F5" w:rsidP="006628F5">
      <w:pPr>
        <w:numPr>
          <w:ilvl w:val="0"/>
          <w:numId w:val="13"/>
        </w:numPr>
        <w:rPr>
          <w:lang w:val="en-US"/>
        </w:rPr>
      </w:pPr>
      <w:r w:rsidRPr="006628F5">
        <w:rPr>
          <w:lang w:val="en-US"/>
        </w:rPr>
        <w:t>DocuMed Ai utilizes AWS's robust, high-availability infrastructure to ensure consistent data accessibility.</w:t>
      </w:r>
    </w:p>
    <w:p w14:paraId="5EAC114E" w14:textId="77777777" w:rsidR="006628F5" w:rsidRPr="006628F5" w:rsidRDefault="006628F5" w:rsidP="006628F5">
      <w:pPr>
        <w:rPr>
          <w:b/>
          <w:bCs/>
          <w:sz w:val="36"/>
          <w:szCs w:val="36"/>
          <w:lang w:val="en-US"/>
        </w:rPr>
      </w:pPr>
      <w:r w:rsidRPr="006628F5">
        <w:rPr>
          <w:b/>
          <w:bCs/>
          <w:sz w:val="36"/>
          <w:szCs w:val="36"/>
          <w:lang w:val="en-US"/>
        </w:rPr>
        <w:t>Confidentiality and Data Encryption</w:t>
      </w:r>
    </w:p>
    <w:p w14:paraId="0A20CF88" w14:textId="77777777" w:rsidR="006628F5" w:rsidRPr="006628F5" w:rsidRDefault="006628F5" w:rsidP="006628F5">
      <w:pPr>
        <w:numPr>
          <w:ilvl w:val="0"/>
          <w:numId w:val="14"/>
        </w:numPr>
        <w:rPr>
          <w:lang w:val="en-US"/>
        </w:rPr>
      </w:pPr>
      <w:r w:rsidRPr="006628F5">
        <w:rPr>
          <w:lang w:val="en-US"/>
        </w:rPr>
        <w:lastRenderedPageBreak/>
        <w:t>Data is encrypted both at rest and during transit utilizing industry-standard encryption methods.</w:t>
      </w:r>
    </w:p>
    <w:p w14:paraId="27C640FE" w14:textId="77777777" w:rsidR="006628F5" w:rsidRPr="006628F5" w:rsidRDefault="006628F5" w:rsidP="006628F5">
      <w:pPr>
        <w:rPr>
          <w:b/>
          <w:bCs/>
          <w:sz w:val="36"/>
          <w:szCs w:val="36"/>
          <w:lang w:val="en-US"/>
        </w:rPr>
      </w:pPr>
      <w:r w:rsidRPr="006628F5">
        <w:rPr>
          <w:b/>
          <w:bCs/>
          <w:sz w:val="36"/>
          <w:szCs w:val="36"/>
          <w:lang w:val="en-US"/>
        </w:rPr>
        <w:t>Vendor Management</w:t>
      </w:r>
    </w:p>
    <w:p w14:paraId="7BB806AB" w14:textId="77777777" w:rsidR="006628F5" w:rsidRPr="006628F5" w:rsidRDefault="006628F5" w:rsidP="006628F5">
      <w:pPr>
        <w:numPr>
          <w:ilvl w:val="0"/>
          <w:numId w:val="15"/>
        </w:numPr>
        <w:rPr>
          <w:lang w:val="en-US"/>
        </w:rPr>
      </w:pPr>
      <w:r w:rsidRPr="006628F5">
        <w:rPr>
          <w:lang w:val="en-US"/>
        </w:rPr>
        <w:t>Vendors handling patient information must comply with HIPAA and execute BAAs, DPAs, or equivalent contractual agreements with DocuMed Ai.</w:t>
      </w:r>
    </w:p>
    <w:p w14:paraId="5DE4C960" w14:textId="77777777" w:rsidR="006628F5" w:rsidRPr="006628F5" w:rsidRDefault="006628F5" w:rsidP="006628F5">
      <w:pPr>
        <w:numPr>
          <w:ilvl w:val="0"/>
          <w:numId w:val="15"/>
        </w:numPr>
        <w:rPr>
          <w:lang w:val="en-US"/>
        </w:rPr>
      </w:pPr>
      <w:r w:rsidRPr="006628F5">
        <w:rPr>
          <w:lang w:val="en-US"/>
        </w:rPr>
        <w:t>Regular assessments of vendor security practices are conducted to uphold high security standards.</w:t>
      </w:r>
    </w:p>
    <w:p w14:paraId="2D0E6070" w14:textId="77777777" w:rsidR="006628F5" w:rsidRPr="006628F5" w:rsidRDefault="006628F5" w:rsidP="006628F5">
      <w:pPr>
        <w:rPr>
          <w:b/>
          <w:bCs/>
          <w:sz w:val="36"/>
          <w:szCs w:val="36"/>
          <w:lang w:val="en-US"/>
        </w:rPr>
      </w:pPr>
      <w:r w:rsidRPr="006628F5">
        <w:rPr>
          <w:b/>
          <w:bCs/>
          <w:sz w:val="36"/>
          <w:szCs w:val="36"/>
          <w:lang w:val="en-US"/>
        </w:rPr>
        <w:t>Artificial Intelligence</w:t>
      </w:r>
    </w:p>
    <w:p w14:paraId="1B966622" w14:textId="77777777" w:rsidR="006628F5" w:rsidRPr="006628F5" w:rsidRDefault="006628F5" w:rsidP="006628F5">
      <w:pPr>
        <w:numPr>
          <w:ilvl w:val="0"/>
          <w:numId w:val="16"/>
        </w:numPr>
        <w:rPr>
          <w:lang w:val="en-US"/>
        </w:rPr>
      </w:pPr>
      <w:r w:rsidRPr="006628F5">
        <w:rPr>
          <w:lang w:val="en-US"/>
        </w:rPr>
        <w:t>All AI models adhere strictly to HIPAA compliance and do not retain data.</w:t>
      </w:r>
    </w:p>
    <w:p w14:paraId="73D8D7BA" w14:textId="77777777" w:rsidR="006628F5" w:rsidRPr="006628F5" w:rsidRDefault="006628F5" w:rsidP="006628F5">
      <w:pPr>
        <w:numPr>
          <w:ilvl w:val="0"/>
          <w:numId w:val="16"/>
        </w:numPr>
        <w:rPr>
          <w:lang w:val="en-US"/>
        </w:rPr>
      </w:pPr>
      <w:r w:rsidRPr="006628F5">
        <w:rPr>
          <w:lang w:val="en-US"/>
        </w:rPr>
        <w:t>Protected Health Information (PHI) is never used for AI model training.</w:t>
      </w:r>
    </w:p>
    <w:p w14:paraId="60D8EF4F" w14:textId="77777777" w:rsidR="006628F5" w:rsidRPr="006628F5" w:rsidRDefault="006628F5" w:rsidP="006628F5">
      <w:pPr>
        <w:rPr>
          <w:b/>
          <w:bCs/>
          <w:sz w:val="36"/>
          <w:szCs w:val="36"/>
          <w:lang w:val="en-US"/>
        </w:rPr>
      </w:pPr>
      <w:r w:rsidRPr="006628F5">
        <w:rPr>
          <w:b/>
          <w:bCs/>
          <w:sz w:val="36"/>
          <w:szCs w:val="36"/>
          <w:lang w:val="en-US"/>
        </w:rPr>
        <w:t>Patient Information</w:t>
      </w:r>
    </w:p>
    <w:p w14:paraId="7D618389" w14:textId="77777777" w:rsidR="006628F5" w:rsidRPr="006628F5" w:rsidRDefault="006628F5" w:rsidP="006628F5">
      <w:pPr>
        <w:numPr>
          <w:ilvl w:val="0"/>
          <w:numId w:val="17"/>
        </w:numPr>
        <w:rPr>
          <w:lang w:val="en-US"/>
        </w:rPr>
      </w:pPr>
      <w:r w:rsidRPr="006628F5">
        <w:rPr>
          <w:lang w:val="en-US"/>
        </w:rPr>
        <w:t>Patient data is consistently encrypted both at rest and in transit.</w:t>
      </w:r>
    </w:p>
    <w:p w14:paraId="210016CF" w14:textId="77777777" w:rsidR="006628F5" w:rsidRPr="006628F5" w:rsidRDefault="006628F5" w:rsidP="006628F5">
      <w:pPr>
        <w:numPr>
          <w:ilvl w:val="0"/>
          <w:numId w:val="17"/>
        </w:numPr>
        <w:rPr>
          <w:lang w:val="en-US"/>
        </w:rPr>
      </w:pPr>
      <w:r w:rsidRPr="006628F5">
        <w:rPr>
          <w:lang w:val="en-US"/>
        </w:rPr>
        <w:t>Notes and recordings are securely stored according to HIPAA compliance requirements. Notes may be manually deleted anytime or configured for automatic deletion after 1-30 days. Recordings also support automatic deletion within the same timeframe.</w:t>
      </w:r>
    </w:p>
    <w:p w14:paraId="1B77B661" w14:textId="77777777" w:rsidR="006628F5" w:rsidRPr="006628F5" w:rsidRDefault="006628F5" w:rsidP="006628F5">
      <w:pPr>
        <w:rPr>
          <w:b/>
          <w:bCs/>
          <w:sz w:val="36"/>
          <w:szCs w:val="36"/>
          <w:lang w:val="en-US"/>
        </w:rPr>
      </w:pPr>
      <w:r w:rsidRPr="006628F5">
        <w:rPr>
          <w:b/>
          <w:bCs/>
          <w:sz w:val="36"/>
          <w:szCs w:val="36"/>
          <w:lang w:val="en-US"/>
        </w:rPr>
        <w:t>For additional information, please refer to:</w:t>
      </w:r>
    </w:p>
    <w:p w14:paraId="5A9C5D09" w14:textId="77777777" w:rsidR="006628F5" w:rsidRPr="006628F5" w:rsidRDefault="006628F5" w:rsidP="006628F5">
      <w:pPr>
        <w:numPr>
          <w:ilvl w:val="0"/>
          <w:numId w:val="18"/>
        </w:numPr>
        <w:rPr>
          <w:color w:val="0070C0"/>
          <w:lang w:val="en-US"/>
        </w:rPr>
      </w:pPr>
      <w:r w:rsidRPr="006628F5">
        <w:rPr>
          <w:color w:val="0070C0"/>
          <w:lang w:val="en-US"/>
        </w:rPr>
        <w:t>DocuMed Ai Terms of Use</w:t>
      </w:r>
    </w:p>
    <w:p w14:paraId="3BAA0C25" w14:textId="77777777" w:rsidR="006628F5" w:rsidRPr="006628F5" w:rsidRDefault="006628F5" w:rsidP="006628F5">
      <w:pPr>
        <w:numPr>
          <w:ilvl w:val="0"/>
          <w:numId w:val="18"/>
        </w:numPr>
        <w:rPr>
          <w:color w:val="0070C0"/>
          <w:lang w:val="en-US"/>
        </w:rPr>
      </w:pPr>
      <w:r w:rsidRPr="006628F5">
        <w:rPr>
          <w:color w:val="0070C0"/>
          <w:lang w:val="en-US"/>
        </w:rPr>
        <w:t>DocuMed Ai Privacy Policy</w:t>
      </w:r>
    </w:p>
    <w:p w14:paraId="05A0B42C" w14:textId="77777777" w:rsidR="006628F5" w:rsidRPr="006628F5" w:rsidRDefault="006628F5" w:rsidP="006628F5">
      <w:pPr>
        <w:numPr>
          <w:ilvl w:val="0"/>
          <w:numId w:val="18"/>
        </w:numPr>
        <w:rPr>
          <w:color w:val="0070C0"/>
          <w:lang w:val="en-US"/>
        </w:rPr>
      </w:pPr>
      <w:r w:rsidRPr="006628F5">
        <w:rPr>
          <w:color w:val="0070C0"/>
          <w:lang w:val="en-US"/>
        </w:rPr>
        <w:t>DocuMed Ai Trust Center</w:t>
      </w:r>
    </w:p>
    <w:p w14:paraId="012CAF77" w14:textId="77777777" w:rsidR="006628F5" w:rsidRPr="006628F5" w:rsidRDefault="006628F5" w:rsidP="006628F5">
      <w:pPr>
        <w:numPr>
          <w:ilvl w:val="0"/>
          <w:numId w:val="18"/>
        </w:numPr>
        <w:rPr>
          <w:color w:val="0070C0"/>
          <w:lang w:val="en-US"/>
        </w:rPr>
      </w:pPr>
      <w:r w:rsidRPr="006628F5">
        <w:rPr>
          <w:color w:val="0070C0"/>
          <w:lang w:val="en-US"/>
        </w:rPr>
        <w:t>DocuMed Ai Business Associate Agreement</w:t>
      </w:r>
    </w:p>
    <w:p w14:paraId="05BC241F" w14:textId="0682874F" w:rsidR="00A31C39" w:rsidRPr="006628F5" w:rsidRDefault="006628F5" w:rsidP="006628F5">
      <w:pPr>
        <w:rPr>
          <w:lang w:val="en-US"/>
        </w:rPr>
      </w:pPr>
      <w:r w:rsidRPr="006628F5">
        <w:rPr>
          <w:lang w:val="en-US"/>
        </w:rPr>
        <w:t xml:space="preserve">Please feel free to </w:t>
      </w:r>
      <w:r w:rsidRPr="006628F5">
        <w:rPr>
          <w:color w:val="0070C0"/>
          <w:lang w:val="en-US"/>
        </w:rPr>
        <w:t xml:space="preserve">contact us </w:t>
      </w:r>
      <w:r w:rsidRPr="006628F5">
        <w:rPr>
          <w:lang w:val="en-US"/>
        </w:rPr>
        <w:t>for further details or assistance.</w:t>
      </w:r>
    </w:p>
    <w:sectPr w:rsidR="00A31C39" w:rsidRPr="00662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1661"/>
    <w:multiLevelType w:val="hybridMultilevel"/>
    <w:tmpl w:val="621C53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45516"/>
    <w:multiLevelType w:val="hybridMultilevel"/>
    <w:tmpl w:val="DD6E3E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4125A"/>
    <w:multiLevelType w:val="multilevel"/>
    <w:tmpl w:val="6652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B5933"/>
    <w:multiLevelType w:val="multilevel"/>
    <w:tmpl w:val="5EC4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C18CF"/>
    <w:multiLevelType w:val="multilevel"/>
    <w:tmpl w:val="CC36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337BD"/>
    <w:multiLevelType w:val="multilevel"/>
    <w:tmpl w:val="2660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E4DE4"/>
    <w:multiLevelType w:val="hybridMultilevel"/>
    <w:tmpl w:val="EE967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2F15DF"/>
    <w:multiLevelType w:val="hybridMultilevel"/>
    <w:tmpl w:val="7D56A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9C6DD6"/>
    <w:multiLevelType w:val="hybridMultilevel"/>
    <w:tmpl w:val="05F2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393513"/>
    <w:multiLevelType w:val="multilevel"/>
    <w:tmpl w:val="B924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DC30F6"/>
    <w:multiLevelType w:val="hybridMultilevel"/>
    <w:tmpl w:val="FC8E7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135119"/>
    <w:multiLevelType w:val="hybridMultilevel"/>
    <w:tmpl w:val="F626A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9F369D"/>
    <w:multiLevelType w:val="hybridMultilevel"/>
    <w:tmpl w:val="E9389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245FF6"/>
    <w:multiLevelType w:val="multilevel"/>
    <w:tmpl w:val="440E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FF7DAD"/>
    <w:multiLevelType w:val="multilevel"/>
    <w:tmpl w:val="77EC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6171F1"/>
    <w:multiLevelType w:val="multilevel"/>
    <w:tmpl w:val="1A08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7A33F5"/>
    <w:multiLevelType w:val="hybridMultilevel"/>
    <w:tmpl w:val="0D2C9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D8437C"/>
    <w:multiLevelType w:val="multilevel"/>
    <w:tmpl w:val="4D1A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305145">
    <w:abstractNumId w:val="1"/>
  </w:num>
  <w:num w:numId="2" w16cid:durableId="2108692037">
    <w:abstractNumId w:val="16"/>
  </w:num>
  <w:num w:numId="3" w16cid:durableId="1905406968">
    <w:abstractNumId w:val="11"/>
  </w:num>
  <w:num w:numId="4" w16cid:durableId="1511677536">
    <w:abstractNumId w:val="8"/>
  </w:num>
  <w:num w:numId="5" w16cid:durableId="1910849739">
    <w:abstractNumId w:val="12"/>
  </w:num>
  <w:num w:numId="6" w16cid:durableId="420151492">
    <w:abstractNumId w:val="0"/>
  </w:num>
  <w:num w:numId="7" w16cid:durableId="1957908086">
    <w:abstractNumId w:val="10"/>
  </w:num>
  <w:num w:numId="8" w16cid:durableId="1464806140">
    <w:abstractNumId w:val="6"/>
  </w:num>
  <w:num w:numId="9" w16cid:durableId="2136868358">
    <w:abstractNumId w:val="7"/>
  </w:num>
  <w:num w:numId="10" w16cid:durableId="361563233">
    <w:abstractNumId w:val="13"/>
  </w:num>
  <w:num w:numId="11" w16cid:durableId="271019188">
    <w:abstractNumId w:val="4"/>
  </w:num>
  <w:num w:numId="12" w16cid:durableId="525561866">
    <w:abstractNumId w:val="15"/>
  </w:num>
  <w:num w:numId="13" w16cid:durableId="1000349963">
    <w:abstractNumId w:val="14"/>
  </w:num>
  <w:num w:numId="14" w16cid:durableId="1543252667">
    <w:abstractNumId w:val="9"/>
  </w:num>
  <w:num w:numId="15" w16cid:durableId="1309869937">
    <w:abstractNumId w:val="17"/>
  </w:num>
  <w:num w:numId="16" w16cid:durableId="1259174657">
    <w:abstractNumId w:val="5"/>
  </w:num>
  <w:num w:numId="17" w16cid:durableId="687758942">
    <w:abstractNumId w:val="3"/>
  </w:num>
  <w:num w:numId="18" w16cid:durableId="11207638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C2"/>
    <w:rsid w:val="00094AAE"/>
    <w:rsid w:val="0011704C"/>
    <w:rsid w:val="001D55D7"/>
    <w:rsid w:val="00361E58"/>
    <w:rsid w:val="00445355"/>
    <w:rsid w:val="004B7EAE"/>
    <w:rsid w:val="00601C77"/>
    <w:rsid w:val="006628F5"/>
    <w:rsid w:val="007415FC"/>
    <w:rsid w:val="008777B1"/>
    <w:rsid w:val="00982076"/>
    <w:rsid w:val="00A31C39"/>
    <w:rsid w:val="00D530C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AAE9"/>
  <w15:chartTrackingRefBased/>
  <w15:docId w15:val="{1E1843EE-D177-4370-B9CD-A97BCF36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0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30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30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30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30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3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0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30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30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30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30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3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0C2"/>
    <w:rPr>
      <w:rFonts w:eastAsiaTheme="majorEastAsia" w:cstheme="majorBidi"/>
      <w:color w:val="272727" w:themeColor="text1" w:themeTint="D8"/>
    </w:rPr>
  </w:style>
  <w:style w:type="paragraph" w:styleId="Title">
    <w:name w:val="Title"/>
    <w:basedOn w:val="Normal"/>
    <w:next w:val="Normal"/>
    <w:link w:val="TitleChar"/>
    <w:uiPriority w:val="10"/>
    <w:qFormat/>
    <w:rsid w:val="00D53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0C2"/>
    <w:pPr>
      <w:spacing w:before="160"/>
      <w:jc w:val="center"/>
    </w:pPr>
    <w:rPr>
      <w:i/>
      <w:iCs/>
      <w:color w:val="404040" w:themeColor="text1" w:themeTint="BF"/>
    </w:rPr>
  </w:style>
  <w:style w:type="character" w:customStyle="1" w:styleId="QuoteChar">
    <w:name w:val="Quote Char"/>
    <w:basedOn w:val="DefaultParagraphFont"/>
    <w:link w:val="Quote"/>
    <w:uiPriority w:val="29"/>
    <w:rsid w:val="00D530C2"/>
    <w:rPr>
      <w:i/>
      <w:iCs/>
      <w:color w:val="404040" w:themeColor="text1" w:themeTint="BF"/>
    </w:rPr>
  </w:style>
  <w:style w:type="paragraph" w:styleId="ListParagraph">
    <w:name w:val="List Paragraph"/>
    <w:basedOn w:val="Normal"/>
    <w:uiPriority w:val="34"/>
    <w:qFormat/>
    <w:rsid w:val="00D530C2"/>
    <w:pPr>
      <w:ind w:left="720"/>
      <w:contextualSpacing/>
    </w:pPr>
  </w:style>
  <w:style w:type="character" w:styleId="IntenseEmphasis">
    <w:name w:val="Intense Emphasis"/>
    <w:basedOn w:val="DefaultParagraphFont"/>
    <w:uiPriority w:val="21"/>
    <w:qFormat/>
    <w:rsid w:val="00D530C2"/>
    <w:rPr>
      <w:i/>
      <w:iCs/>
      <w:color w:val="2F5496" w:themeColor="accent1" w:themeShade="BF"/>
    </w:rPr>
  </w:style>
  <w:style w:type="paragraph" w:styleId="IntenseQuote">
    <w:name w:val="Intense Quote"/>
    <w:basedOn w:val="Normal"/>
    <w:next w:val="Normal"/>
    <w:link w:val="IntenseQuoteChar"/>
    <w:uiPriority w:val="30"/>
    <w:qFormat/>
    <w:rsid w:val="00D530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30C2"/>
    <w:rPr>
      <w:i/>
      <w:iCs/>
      <w:color w:val="2F5496" w:themeColor="accent1" w:themeShade="BF"/>
    </w:rPr>
  </w:style>
  <w:style w:type="character" w:styleId="IntenseReference">
    <w:name w:val="Intense Reference"/>
    <w:basedOn w:val="DefaultParagraphFont"/>
    <w:uiPriority w:val="32"/>
    <w:qFormat/>
    <w:rsid w:val="00D530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9995128">
      <w:bodyDiv w:val="1"/>
      <w:marLeft w:val="0"/>
      <w:marRight w:val="0"/>
      <w:marTop w:val="0"/>
      <w:marBottom w:val="0"/>
      <w:divBdr>
        <w:top w:val="none" w:sz="0" w:space="0" w:color="auto"/>
        <w:left w:val="none" w:sz="0" w:space="0" w:color="auto"/>
        <w:bottom w:val="none" w:sz="0" w:space="0" w:color="auto"/>
        <w:right w:val="none" w:sz="0" w:space="0" w:color="auto"/>
      </w:divBdr>
    </w:div>
    <w:div w:id="152641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2025-05-13T17:23:00Z</dcterms:created>
  <dcterms:modified xsi:type="dcterms:W3CDTF">2025-05-13T17:43:00Z</dcterms:modified>
</cp:coreProperties>
</file>