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6.png" ContentType="image/png"/>
  <Override PartName="/word/media/rId50.png" ContentType="image/png"/>
  <Override PartName="/word/media/rId18.png" ContentType="image/png"/>
  <Override PartName="/word/media/rId22.png" ContentType="image/png"/>
  <Override PartName="/word/media/rId29.png" ContentType="image/png"/>
  <Override PartName="/word/media/rId41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рабочего пространства. Модель экспоненциального роста</w:t>
      </w:r>
    </w:p>
    <w:p>
      <w:pPr>
        <w:pStyle w:val="Author"/>
      </w:pPr>
      <w:r>
        <w:t xml:space="preserve">Глущенко Евгений Игоревич</w:t>
      </w:r>
    </w:p>
    <w:p>
      <w:pPr>
        <w:pStyle w:val="Date"/>
      </w:pPr>
      <w:r>
        <w:t xml:space="preserve">2026-05-29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инструменты программной инженерии (git, семантическое версионирование, общепринятые коммиты), подготовить рабочее пространство курса «Имитационное моделирование», познакомиться с языком Julia и пакетом DrWatson, реализовать модель экспоненциального роста в литературном стиле программирования, сгенерировать из единого источника производные форматы и провести параметрическое исследование модели.</w:t>
      </w:r>
    </w:p>
    <w:p>
      <w:pPr>
        <w:pStyle w:val="BodyText"/>
      </w:pPr>
      <w:r>
        <w:t xml:space="preserve">Исполнитель работы: Глущенко Евгений Игоревич.</w:t>
      </w:r>
      <w:r>
        <w:t xml:space="preserve"> </w:t>
      </w:r>
      <w:r>
        <w:t xml:space="preserve">Группа: НФИбд-01-23.</w:t>
      </w:r>
      <w:r>
        <w:t xml:space="preserve"> </w:t>
      </w:r>
      <w:r>
        <w:t xml:space="preserve">Студенческий билет: 1132239110.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курса и рабочее пространство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Освоить семантическое версионирование и общепринятые коммиты.</w:t>
      </w:r>
    </w:p>
    <w:p>
      <w:pPr>
        <w:pStyle w:val="Compact"/>
        <w:numPr>
          <w:ilvl w:val="0"/>
          <w:numId w:val="1001"/>
        </w:numPr>
      </w:pPr>
      <w:r>
        <w:t xml:space="preserve">Настроить git, ssh- и gpg-ключи.</w:t>
      </w:r>
    </w:p>
    <w:p>
      <w:pPr>
        <w:pStyle w:val="Compact"/>
        <w:numPr>
          <w:ilvl w:val="0"/>
          <w:numId w:val="1001"/>
        </w:numPr>
      </w:pPr>
      <w:r>
        <w:t xml:space="preserve">Установить язык Julia и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модели экспоненциального роста.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чистый код, Jupyter notebook и документацию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notebook и интегрировать документацию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вычисление для набора параметров и повторить генерацию артефактов.</w:t>
      </w:r>
    </w:p>
    <w:bookmarkEnd w:id="10"/>
    <w:bookmarkStart w:id="1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программная-инженерия"/>
    <w:p>
      <w:pPr>
        <w:pStyle w:val="Heading2"/>
      </w:pPr>
      <w:r>
        <w:t xml:space="preserve">3.1 Программная инженерия</w:t>
      </w:r>
    </w:p>
    <w:p>
      <w:pPr>
        <w:pStyle w:val="FirstParagraph"/>
      </w:pPr>
      <w:r>
        <w:t xml:space="preserve">Семантическое версионирование задаёт номер версии в виде</w:t>
      </w:r>
      <w:r>
        <w:t xml:space="preserve"> </w:t>
      </w:r>
      <w:r>
        <w:rPr>
          <w:rStyle w:val="VerbatimChar"/>
        </w:rPr>
        <w:t xml:space="preserve">МАЖОРНАЯ.МИНОРНАЯ.ПАТЧ</w:t>
      </w:r>
      <w:r>
        <w:t xml:space="preserve"> </w:t>
      </w:r>
      <w:r>
        <w:t xml:space="preserve">[1]</w:t>
      </w:r>
      <w:r>
        <w:t xml:space="preserve">: мажорная версия увеличивается при обратно несовместимых изменениях API, минорная — при добавлении функциональности с сохранением совместимости, патч — при обратно совместимых исправлениях.</w:t>
      </w:r>
    </w:p>
    <w:p>
      <w:pPr>
        <w:pStyle w:val="BodyText"/>
      </w:pPr>
      <w:r>
        <w:t xml:space="preserve">Спецификация общепринятых коммитов (Conventional Commits) регламентирует структуру сообщений фиксации</w:t>
      </w:r>
      <w:r>
        <w:t xml:space="preserve"> </w:t>
      </w:r>
      <w:r>
        <w:t xml:space="preserve">[2]</w:t>
      </w:r>
      <w:r>
        <w:t xml:space="preserve">. Сообщение имеет вид</w:t>
      </w:r>
      <w:r>
        <w:t xml:space="preserve"> </w:t>
      </w:r>
      <w:r>
        <w:rPr>
          <w:rStyle w:val="VerbatimChar"/>
        </w:rPr>
        <w:t xml:space="preserve">&lt;тип&gt;(&lt;область&gt;): &lt;описание&gt;</w:t>
      </w:r>
      <w:r>
        <w:t xml:space="preserve">, где основные типы —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(новая функция, соответствует MINOR),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(исправление, соответствует PATCH), а также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. Критические изменения помечаются</w:t>
      </w:r>
      <w:r>
        <w:t xml:space="preserve"> </w:t>
      </w:r>
      <w:r>
        <w:rPr>
          <w:rStyle w:val="VerbatimChar"/>
        </w:rPr>
        <w:t xml:space="preserve">BREAKING CHANGE</w:t>
      </w:r>
      <w:r>
        <w:t xml:space="preserve"> </w:t>
      </w:r>
      <w:r>
        <w:t xml:space="preserve">и соответствуют MAJOR.</w:t>
      </w:r>
    </w:p>
    <w:bookmarkEnd w:id="11"/>
    <w:bookmarkStart w:id="12" w:name="системы-контроля-версий"/>
    <w:p>
      <w:pPr>
        <w:pStyle w:val="Heading2"/>
      </w:pPr>
      <w:r>
        <w:t xml:space="preserve">3.2 Системы контроля версий</w:t>
      </w:r>
    </w:p>
    <w:p>
      <w:pPr>
        <w:pStyle w:val="FirstParagraph"/>
      </w:pPr>
      <w:r>
        <w:t xml:space="preserve">Git — распределённая система контроля версий, в которой каждый участник хранит полную копию истории. Базовые операции: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ветвление через</w:t>
      </w:r>
      <w:r>
        <w:t xml:space="preserve"> </w:t>
      </w:r>
      <w:r>
        <w:rPr>
          <w:rStyle w:val="VerbatimChar"/>
        </w:rPr>
        <w:t xml:space="preserve">git checkout -b</w:t>
      </w:r>
      <w:r>
        <w:t xml:space="preserve"> </w:t>
      </w:r>
      <w:r>
        <w:t xml:space="preserve">и слияние</w:t>
      </w:r>
      <w:r>
        <w:t xml:space="preserve"> </w:t>
      </w:r>
      <w:r>
        <w:rPr>
          <w:rStyle w:val="VerbatimChar"/>
        </w:rPr>
        <w:t xml:space="preserve">git merge --no-ff</w:t>
      </w:r>
      <w:r>
        <w:t xml:space="preserve">. Для идентификации на сервере репозиториев применяются ssh-ключи (рекомендуется</w:t>
      </w:r>
      <w:r>
        <w:t xml:space="preserve"> </w:t>
      </w:r>
      <w:r>
        <w:rPr>
          <w:rStyle w:val="VerbatimChar"/>
        </w:rPr>
        <w:t xml:space="preserve">ed25519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rsa</w:t>
      </w:r>
      <w:r>
        <w:t xml:space="preserve"> </w:t>
      </w:r>
      <w:r>
        <w:t xml:space="preserve">4096 бит), а для подтверждения авторства — подпись коммитов ключами gpg.</w:t>
      </w:r>
    </w:p>
    <w:bookmarkEnd w:id="12"/>
    <w:bookmarkStart w:id="13" w:name="модель-экспоненциального-роста"/>
    <w:p>
      <w:pPr>
        <w:pStyle w:val="Heading2"/>
      </w:pPr>
      <w:r>
        <w:t xml:space="preserve">3.3 Модель экспоненциального роста</w:t>
      </w:r>
    </w:p>
    <w:p>
      <w:pPr>
        <w:pStyle w:val="FirstParagraph"/>
      </w:pPr>
      <w:r>
        <w:t xml:space="preserve">Экспоненциальный рост — процесс, в котором скорость роста величины пропорциональна её текущему значению</w:t>
      </w:r>
      <w:r>
        <w:t xml:space="preserve"> </w:t>
      </w:r>
      <w:r>
        <w:t xml:space="preserve">[3]</w:t>
      </w:r>
      <w:r>
        <w:t xml:space="preserve">. Модель задаётся дифференциальным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— растущая величина (численность популяции, капитал),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— константа роста (мальтузианский параметр). Аналитическое решение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Время удвоения величины — время</w:t>
      </w:r>
      <w:r>
        <w:t xml:space="preserve"> </w:t>
      </w:r>
      <w:r>
        <w:rPr>
          <w:rStyle w:val="VerbatimChar"/>
        </w:rPr>
        <w:t xml:space="preserve">T₂</w:t>
      </w:r>
      <w:r>
        <w:t xml:space="preserve">, за которое значение удваивается: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693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α &gt; 0</w:t>
      </w:r>
      <w:r>
        <w:t xml:space="preserve"> </w:t>
      </w:r>
      <w:r>
        <w:t xml:space="preserve">наблюдается рост, при</w:t>
      </w:r>
      <w:r>
        <w:t xml:space="preserve"> </w:t>
      </w:r>
      <w:r>
        <w:rPr>
          <w:rStyle w:val="VerbatimChar"/>
        </w:rPr>
        <w:t xml:space="preserve">α &lt; 0</w:t>
      </w:r>
      <w:r>
        <w:t xml:space="preserve"> </w:t>
      </w:r>
      <w:r>
        <w:t xml:space="preserve">— экспоненциальное затухание. Модель применяется в биологии, финансах и в начальной фазе распространения инфекции</w:t>
      </w:r>
      <w:r>
        <w:t xml:space="preserve"> </w:t>
      </w:r>
      <w:r>
        <w:t xml:space="preserve">[4]</w:t>
      </w:r>
      <w:r>
        <w:t xml:space="preserve">.</w:t>
      </w:r>
    </w:p>
    <w:bookmarkEnd w:id="13"/>
    <w:bookmarkStart w:id="14" w:name="литературное-программирование"/>
    <w:p>
      <w:pPr>
        <w:pStyle w:val="Heading2"/>
      </w:pPr>
      <w:r>
        <w:t xml:space="preserve">3.4 Литературное программирование</w:t>
      </w:r>
    </w:p>
    <w:p>
      <w:pPr>
        <w:pStyle w:val="FirstParagraph"/>
      </w:pPr>
      <w:r>
        <w:t xml:space="preserve">Литературное программирование объединяет код и его описание в одном документе</w:t>
      </w:r>
      <w:r>
        <w:t xml:space="preserve"> </w:t>
      </w:r>
      <w:r>
        <w:t xml:space="preserve">[5]</w:t>
      </w:r>
      <w:r>
        <w:t xml:space="preserve">. Проект организован на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[6]</w:t>
      </w:r>
      <w:r>
        <w:t xml:space="preserve">, а из единого литературного источника пакет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[7]</w:t>
      </w:r>
      <w:r>
        <w:t xml:space="preserve"> </w:t>
      </w:r>
      <w:r>
        <w:t xml:space="preserve">порождает чистый скрипт, документ Markdown и исполняемый Jupyter notebook. Расчёты выполнены на языке Julia</w:t>
      </w:r>
      <w:r>
        <w:t xml:space="preserve"> </w:t>
      </w:r>
      <w:r>
        <w:t xml:space="preserve">[8]</w:t>
      </w:r>
      <w:r>
        <w:t xml:space="preserve">.</w:t>
      </w:r>
    </w:p>
    <w:bookmarkEnd w:id="14"/>
    <w:bookmarkEnd w:id="15"/>
    <w:bookmarkStart w:id="6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6" w:name="подготовка-стенда"/>
    <w:p>
      <w:pPr>
        <w:pStyle w:val="Heading2"/>
      </w:pPr>
      <w:r>
        <w:t xml:space="preserve">4.1 Подготовка стенда</w:t>
      </w:r>
    </w:p>
    <w:p>
      <w:pPr>
        <w:pStyle w:val="FirstParagraph"/>
      </w:pPr>
      <w:r>
        <w:t xml:space="preserve">Базовая настройка git — имя, почта, кодировка вывода и ветка по умолчанию: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"Name Surname"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"work@mail"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</w:p>
    <w:p>
      <w:pPr>
        <w:pStyle w:val="FirstParagraph"/>
      </w:pPr>
      <w:r>
        <w:t xml:space="preserve">Генерация ssh-ключа для идентификации на сервере репозиториев: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Surname &lt;work@mail&gt;"</w:t>
      </w:r>
    </w:p>
    <w:p>
      <w:pPr>
        <w:pStyle w:val="FirstParagraph"/>
      </w:pPr>
      <w:r>
        <w:t xml:space="preserve">Генерация gpg-ключа для подписи коммитов и его экспорт: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--full-generate-key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--keyid-format</w:t>
      </w:r>
      <w:r>
        <w:rPr>
          <w:rStyle w:val="NormalTok"/>
        </w:rPr>
        <w:t xml:space="preserve"> LONG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PGP Fingerprint</w:t>
      </w:r>
      <w:r>
        <w:rPr>
          <w:rStyle w:val="OperatorTok"/>
        </w:rPr>
        <w:t xml:space="preserve">&gt;</w:t>
      </w:r>
    </w:p>
    <w:bookmarkEnd w:id="16"/>
    <w:bookmarkStart w:id="17" w:name="структура-проекта"/>
    <w:p>
      <w:pPr>
        <w:pStyle w:val="Heading2"/>
      </w:pPr>
      <w:r>
        <w:t xml:space="preserve">4.2 Структура проекта</w:t>
      </w:r>
    </w:p>
    <w:p>
      <w:pPr>
        <w:pStyle w:val="FirstParagraph"/>
      </w:pPr>
      <w:r>
        <w:t xml:space="preserve">Рабочий каталог лабораторной работы организован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project/src/ExponentialGrowth.jl</w:t>
      </w:r>
      <w:r>
        <w:t xml:space="preserve"> </w:t>
      </w:r>
      <w:r>
        <w:t xml:space="preserve">— модуль с численным решением, аналитикой, временем удвоения, параметрическим сканированием и графиками;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project/scripts/growth.jl</w:t>
      </w:r>
      <w:r>
        <w:t xml:space="preserve"> </w:t>
      </w:r>
      <w:r>
        <w:t xml:space="preserve">— базовый эксперимент;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project/scripts/growth_parameters.jl</w:t>
      </w:r>
      <w:r>
        <w:t xml:space="preserve"> </w:t>
      </w:r>
      <w:r>
        <w:t xml:space="preserve">— параметрическое исследование;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project/scripts/growth_literate.jl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growth_parameters_literate.jl</w:t>
      </w:r>
      <w:r>
        <w:t xml:space="preserve"> </w:t>
      </w:r>
      <w:r>
        <w:t xml:space="preserve">— литературные источники;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project/scripts/tangle.jl</w:t>
      </w:r>
      <w:r>
        <w:t xml:space="preserve"> </w:t>
      </w:r>
      <w:r>
        <w:t xml:space="preserve">— генератор literate-артефактов;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project/data/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project/plots/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project/docs/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project/notebooks/</w:t>
      </w:r>
      <w:r>
        <w:t xml:space="preserve"> </w:t>
      </w:r>
      <w:r>
        <w:t xml:space="preserve">— таблицы, графики, markdown- и notebook-материалы;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 </w:t>
      </w:r>
      <w:r>
        <w:t xml:space="preserve">— отчёт и презентация на Quarto.</w:t>
      </w:r>
    </w:p>
    <w:bookmarkEnd w:id="17"/>
    <w:bookmarkStart w:id="27" w:name="команды-воспроизведения"/>
    <w:p>
      <w:pPr>
        <w:pStyle w:val="Heading2"/>
      </w:pPr>
      <w:r>
        <w:t xml:space="preserve">4.3 Команды воспроизведения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~/labs/lab01/project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'include("scripts/growth.jl")'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'include("scripts/growth_parameters.jl")'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</w:t>
      </w:r>
    </w:p>
    <w:bookmarkStart w:id="26" w:name="фактическое-выполнение-команд"/>
    <w:p>
      <w:pPr>
        <w:pStyle w:val="Heading3"/>
      </w:pPr>
      <w:r>
        <w:t xml:space="preserve">4.3.1 Фактическое выполнение команд</w:t>
      </w:r>
    </w:p>
    <w:p>
      <w:pPr>
        <w:pStyle w:val="FirstParagraph"/>
      </w:pPr>
      <w:r>
        <w:t xml:space="preserve">Переход в каталог проекта (</w:t>
      </w:r>
      <w:hyperlink w:anchor="fig-cd">
        <w:r>
          <w:rPr>
            <w:rStyle w:val="Hyperlink"/>
          </w:rPr>
          <w:t xml:space="preserve">Рисунок 1</w:t>
        </w:r>
      </w:hyperlink>
      <w:r>
        <w:t xml:space="preserve">) и активация зависимостей через</w:t>
      </w:r>
      <w:r>
        <w:t xml:space="preserve"> </w:t>
      </w:r>
      <w:r>
        <w:rPr>
          <w:rStyle w:val="VerbatimChar"/>
        </w:rPr>
        <w:t xml:space="preserve">Pkg.instantiate()</w:t>
      </w:r>
      <w:r>
        <w:t xml:space="preserve"> </w:t>
      </w:r>
      <w:r>
        <w:t xml:space="preserve">(</w:t>
      </w:r>
      <w:hyperlink w:anchor="fig-instantiate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d"/>
          <w:p>
            <w:pPr>
              <w:pStyle w:val="Compact"/>
              <w:jc w:val="center"/>
            </w:pPr>
            <w:r>
              <w:drawing>
                <wp:inline>
                  <wp:extent cx="5120640" cy="24551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1-cd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245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 проекта</w:t>
            </w:r>
            <w:r>
              <w:t xml:space="preserve"> </w:t>
            </w:r>
            <w:r>
              <w:rPr>
                <w:rStyle w:val="VerbatimChar"/>
              </w:rPr>
              <w:t xml:space="preserve">lab01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instantiate"/>
          <w:p>
            <w:pPr>
              <w:pStyle w:val="Compact"/>
              <w:jc w:val="center"/>
            </w:pPr>
            <w:r>
              <w:drawing>
                <wp:inline>
                  <wp:extent cx="5120640" cy="11567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2-instantia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115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Активация окружения проекта через</w:t>
            </w:r>
            <w:r>
              <w:t xml:space="preserve"> </w:t>
            </w:r>
            <w:r>
              <w:rPr>
                <w:rStyle w:val="VerbatimChar"/>
              </w:rPr>
              <w:t xml:space="preserve">Pkg.instantiate()</w:t>
            </w:r>
          </w:p>
          <w:bookmarkEnd w:id="25"/>
        </w:tc>
      </w:tr>
    </w:tbl>
    <w:p>
      <w:pPr>
        <w:pStyle w:val="BodyText"/>
      </w:pPr>
      <w:r>
        <w:t xml:space="preserve">Окружение поднято из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 после чего все сценарии запускались в одном воспроизводимом окружении.</w:t>
      </w:r>
    </w:p>
    <w:bookmarkEnd w:id="26"/>
    <w:bookmarkEnd w:id="27"/>
    <w:bookmarkStart w:id="28" w:name="реализация-модели"/>
    <w:p>
      <w:pPr>
        <w:pStyle w:val="Heading2"/>
      </w:pPr>
      <w:r>
        <w:t xml:space="preserve">4.4 Реализация модели</w:t>
      </w:r>
    </w:p>
    <w:p>
      <w:pPr>
        <w:pStyle w:val="FirstParagraph"/>
      </w:pPr>
      <w:r>
        <w:t xml:space="preserve">Аналитическое решение и время удвоения заданы напрямую, а численное решение получено методом Рунге–Кутты 4-го порядка:</w:t>
      </w:r>
    </w:p>
    <w:p>
      <w:pPr>
        <w:pStyle w:val="SourceCode"/>
      </w:pPr>
      <w:r>
        <w:rPr>
          <w:rStyle w:val="FunctionTok"/>
        </w:rPr>
        <w:t xml:space="preserve">analytic_growth</w:t>
      </w:r>
      <w:r>
        <w:rPr>
          <w:rStyle w:val="NormalTok"/>
        </w:rPr>
        <w:t xml:space="preserve">(u0, α,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doubling_time</w:t>
      </w:r>
      <w:r>
        <w:rPr>
          <w:rStyle w:val="NormalTok"/>
        </w:rPr>
        <w:t xml:space="preserve">(α)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run_growth</w:t>
      </w:r>
      <w:r>
        <w:rPr>
          <w:rStyle w:val="NormalTok"/>
        </w:rPr>
        <w:t xml:space="preserve">(u0, α, tspan;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t0, 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</w:t>
      </w:r>
      <w:r>
        <w:br/>
      </w:r>
      <w:r>
        <w:rPr>
          <w:rStyle w:val="NormalTok"/>
        </w:rPr>
        <w:t xml:space="preserve">    nsteps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((tf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dt))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массивы ts, us, ua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nsteps</w:t>
      </w:r>
      <w:r>
        <w:br/>
      </w:r>
      <w:r>
        <w:rPr>
          <w:rStyle w:val="NormalTok"/>
        </w:rPr>
        <w:t xml:space="preserve">        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k1)</w:t>
      </w:r>
      <w:r>
        <w:br/>
      </w:r>
      <w:r>
        <w:rPr>
          <w:rStyle w:val="NormalTok"/>
        </w:rPr>
        <w:t xml:space="preserve">        k3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k2)</w:t>
      </w:r>
      <w:r>
        <w:br/>
      </w:r>
      <w:r>
        <w:rPr>
          <w:rStyle w:val="NormalTok"/>
        </w:rPr>
        <w:t xml:space="preserve">        k4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k3)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(k1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k2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k3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k4)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запись ts, us, ua = analytic_growth(u0, α, t + dt)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ts,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us, u_analytic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ua, abs_error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.(us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ua))</w:t>
      </w:r>
      <w:r>
        <w:br/>
      </w:r>
      <w:r>
        <w:rPr>
          <w:rStyle w:val="KeywordTok"/>
        </w:rPr>
        <w:t xml:space="preserve">end</w:t>
      </w:r>
    </w:p>
    <w:bookmarkEnd w:id="28"/>
    <w:bookmarkStart w:id="40" w:name="базовый-эксперимент"/>
    <w:p>
      <w:pPr>
        <w:pStyle w:val="Heading2"/>
      </w:pPr>
      <w:r>
        <w:t xml:space="preserve">4.5 Базовый эксперимент</w:t>
      </w:r>
    </w:p>
    <w:p>
      <w:pPr>
        <w:pStyle w:val="FirstParagraph"/>
      </w:pPr>
      <w:r>
        <w:t xml:space="preserve">Для базового сценария использованы параметры</w:t>
      </w:r>
      <w:r>
        <w:t xml:space="preserve"> </w:t>
      </w:r>
      <w:r>
        <w:rPr>
          <w:rStyle w:val="VerbatimChar"/>
        </w:rPr>
        <w:t xml:space="preserve">u0 =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α = 0.3</w:t>
      </w:r>
      <w:r>
        <w:t xml:space="preserve">, интервал</w:t>
      </w:r>
      <w:r>
        <w:t xml:space="preserve"> </w:t>
      </w:r>
      <w:r>
        <w:rPr>
          <w:rStyle w:val="VerbatimChar"/>
        </w:rPr>
        <w:t xml:space="preserve">t ∈ [0, 10]</w:t>
      </w:r>
      <w:r>
        <w:t xml:space="preserve">, шаг</w:t>
      </w:r>
      <w:r>
        <w:t xml:space="preserve"> </w:t>
      </w:r>
      <w:r>
        <w:rPr>
          <w:rStyle w:val="VerbatimChar"/>
        </w:rPr>
        <w:t xml:space="preserve">dt = 0.1</w:t>
      </w:r>
      <w:r>
        <w:t xml:space="preserve">. Вывод запуска:</w:t>
      </w:r>
    </w:p>
    <w:p>
      <w:pPr>
        <w:pStyle w:val="SourceCode"/>
      </w:pPr>
      <w:r>
        <w:rPr>
          <w:rStyle w:val="VerbatimChar"/>
        </w:rPr>
        <w:t xml:space="preserve">Exponential growth baseline completed</w:t>
      </w:r>
      <w:r>
        <w:br/>
      </w:r>
      <w:r>
        <w:rPr>
          <w:rStyle w:val="VerbatimChar"/>
        </w:rPr>
        <w:t xml:space="preserve">  doubling time = 2.31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growth-run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показан фактический запуск базового сценария</w:t>
      </w:r>
      <w:r>
        <w:t xml:space="preserve"> </w:t>
      </w:r>
      <w:r>
        <w:rPr>
          <w:rStyle w:val="VerbatimChar"/>
        </w:rPr>
        <w:t xml:space="preserve">scripts/growth.jl</w:t>
      </w:r>
      <w:r>
        <w:t xml:space="preserve"> </w:t>
      </w:r>
      <w:r>
        <w:t xml:space="preserve">с выводом сводной таблицы.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growth-run"/>
          <w:p>
            <w:pPr>
              <w:pStyle w:val="Compact"/>
              <w:jc w:val="center"/>
            </w:pPr>
            <w:r>
              <w:drawing>
                <wp:inline>
                  <wp:extent cx="5120640" cy="76404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3-growth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764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базового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scripts/growth.jl</w:t>
            </w:r>
          </w:p>
          <w:bookmarkEnd w:id="32"/>
        </w:tc>
      </w:tr>
    </w:tbl>
    <w:p>
      <w:pPr>
        <w:pStyle w:val="BodyText"/>
      </w:pPr>
      <w:r>
        <w:t xml:space="preserve">Сводка прогона приведена в</w:t>
      </w:r>
      <w:r>
        <w:t xml:space="preserve"> </w:t>
      </w:r>
      <w:hyperlink w:anchor="tbl-growth-summary">
        <w:r>
          <w:rPr>
            <w:rStyle w:val="Hyperlink"/>
          </w:rPr>
          <w:t xml:space="preserve">Таблица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growth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Сводка базового эксперимента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u0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α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final_numeric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final_analytic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doubling_time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max_abs_error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20.0855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20.0855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3.97·10⁻⁷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Численное решение совпадает с аналитическим</w:t>
      </w:r>
      <w:r>
        <w:t xml:space="preserve"> </w:t>
      </w:r>
      <w:r>
        <w:rPr>
          <w:rStyle w:val="VerbatimChar"/>
        </w:rPr>
        <w:t xml:space="preserve">u(10) = e³ ≈ 20.0855</w:t>
      </w:r>
      <w:r>
        <w:t xml:space="preserve"> </w:t>
      </w:r>
      <w:r>
        <w:t xml:space="preserve">с максимальной абсолютной погрешностью порядка</w:t>
      </w:r>
      <w:r>
        <w:t xml:space="preserve"> </w:t>
      </w:r>
      <w:r>
        <w:rPr>
          <w:rStyle w:val="VerbatimChar"/>
        </w:rPr>
        <w:t xml:space="preserve">10⁻⁷</w:t>
      </w:r>
      <w:r>
        <w:t xml:space="preserve">, что подтверждает корректность реализации метода Рунге–Кутты. График приведён на</w:t>
      </w:r>
      <w:r>
        <w:t xml:space="preserve"> </w:t>
      </w:r>
      <w:hyperlink w:anchor="fig-growth-base">
        <w:r>
          <w:rPr>
            <w:rStyle w:val="Hyperlink"/>
          </w:rPr>
          <w:t xml:space="preserve">Рисунок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growth-base"/>
          <w:p>
            <w:pPr>
              <w:pStyle w:val="Compact"/>
              <w:jc w:val="center"/>
            </w:pPr>
            <w:r>
              <w:drawing>
                <wp:inline>
                  <wp:extent cx="4693920" cy="272247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generated/growth_bas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722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Экспоненциальный рост при</w:t>
            </w:r>
            <w:r>
              <w:t xml:space="preserve"> </w:t>
            </w:r>
            <w:r>
              <w:rPr>
                <w:rStyle w:val="VerbatimChar"/>
              </w:rPr>
              <w:t xml:space="preserve">α = 0.3</w:t>
            </w:r>
            <w:r>
              <w:t xml:space="preserve">: численное решение и аналитическая кривая</w:t>
            </w:r>
          </w:p>
          <w:bookmarkEnd w:id="37"/>
        </w:tc>
      </w:tr>
    </w:tbl>
    <w:p>
      <w:pPr>
        <w:pStyle w:val="BodyText"/>
      </w:pPr>
      <w:r>
        <w:t xml:space="preserve">Точки численного решения ложатся точно на аналитическую кривую</w:t>
      </w:r>
      <w:r>
        <w:t xml:space="preserve"> </w:t>
      </w:r>
      <w:r>
        <w:rPr>
          <w:rStyle w:val="VerbatimChar"/>
        </w:rPr>
        <w:t xml:space="preserve">u(t) = u0 e^{α t}</w:t>
      </w:r>
      <w:r>
        <w:t xml:space="preserve">.</w:t>
      </w:r>
    </w:p>
    <w:bookmarkStart w:id="39" w:name="X75f5a0202dc6d61848ced7674f349838a9e51de"/>
    <w:p>
      <w:pPr>
        <w:pStyle w:val="Heading3"/>
      </w:pPr>
      <w:r>
        <w:t xml:space="preserve">4.5.1 Фрагмент временного ряда</w:t>
      </w:r>
      <w:r>
        <w:t xml:space="preserve"> </w:t>
      </w:r>
      <w:r>
        <w:rPr>
          <w:rStyle w:val="VerbatimChar"/>
        </w:rPr>
        <w:t xml:space="preserve">growth_trajectory.csv</w:t>
      </w:r>
    </w:p>
    <w:p>
      <w:pPr>
        <w:pStyle w:val="FirstParagraph"/>
      </w:pPr>
      <w:r>
        <w:t xml:space="preserve">Первые строки временного ряда приведены в</w:t>
      </w:r>
      <w:r>
        <w:t xml:space="preserve"> </w:t>
      </w:r>
      <w:hyperlink w:anchor="tbl-growth-traj">
        <w:r>
          <w:rPr>
            <w:rStyle w:val="Hyperlink"/>
          </w:rPr>
          <w:t xml:space="preserve">Таблица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growth-traj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Начало временного ряда</w:t>
            </w:r>
            <w:r>
              <w:t xml:space="preserve"> </w:t>
            </w:r>
            <w:r>
              <w:rPr>
                <w:rStyle w:val="VerbatimChar"/>
              </w:rPr>
              <w:t xml:space="preserve">growth_trajectory.csv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u_analytic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abs_error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1.03045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1.03045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2.0·10⁻¹⁰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1.06184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1.06184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4.2·10⁻¹⁰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1.09417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1.09417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6.5·10⁻¹⁰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1.12750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1.12750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8.9·10⁻¹⁰</w:t>
                  </w:r>
                </w:p>
              </w:tc>
            </w:tr>
          </w:tbl>
          <w:bookmarkEnd w:id="38"/>
          <w:p/>
        </w:tc>
      </w:tr>
    </w:tbl>
    <w:bookmarkEnd w:id="39"/>
    <w:bookmarkEnd w:id="40"/>
    <w:bookmarkStart w:id="54" w:name="параметрическое-исследование"/>
    <w:p>
      <w:pPr>
        <w:pStyle w:val="Heading2"/>
      </w:pPr>
      <w:r>
        <w:t xml:space="preserve">4.6 Параметрическое исследование</w:t>
      </w:r>
    </w:p>
    <w:p>
      <w:pPr>
        <w:pStyle w:val="FirstParagraph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scripts/growth_parameters.jl</w:t>
      </w:r>
      <w:r>
        <w:t xml:space="preserve"> </w:t>
      </w:r>
      <w:r>
        <w:t xml:space="preserve">исследуется влияние скорости роста на сетке</w:t>
      </w:r>
      <w:r>
        <w:t xml:space="preserve"> </w:t>
      </w:r>
      <w:r>
        <w:rPr>
          <w:rStyle w:val="VerbatimChar"/>
        </w:rPr>
        <w:t xml:space="preserve">α ∈ {0.1, 0.3, 0.5, 0.8, 1.0}</w:t>
      </w:r>
      <w:r>
        <w:t xml:space="preserve">. Вывод сценария:</w:t>
      </w:r>
    </w:p>
    <w:p>
      <w:pPr>
        <w:pStyle w:val="SourceCode"/>
      </w:pPr>
      <w:r>
        <w:rPr>
          <w:rStyle w:val="VerbatimChar"/>
        </w:rPr>
        <w:t xml:space="preserve">Exponential growth parameter scan completed</w:t>
      </w:r>
      <w:r>
        <w:br/>
      </w:r>
      <w:r>
        <w:rPr>
          <w:rStyle w:val="VerbatimChar"/>
        </w:rPr>
        <w:t xml:space="preserve">  scenarios: 5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growth-params-run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показан фактический запуск параметрического исследования</w:t>
      </w:r>
      <w:r>
        <w:t xml:space="preserve"> </w:t>
      </w:r>
      <w:r>
        <w:rPr>
          <w:rStyle w:val="VerbatimChar"/>
        </w:rPr>
        <w:t xml:space="preserve">scripts/growth_parameters.jl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growth-params-run"/>
          <w:p>
            <w:pPr>
              <w:pStyle w:val="Compact"/>
              <w:jc w:val="center"/>
            </w:pPr>
            <w:r>
              <w:drawing>
                <wp:inline>
                  <wp:extent cx="5120640" cy="110095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4-growth-params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11009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scripts/growth_parameters.jl</w:t>
            </w:r>
          </w:p>
          <w:bookmarkEnd w:id="44"/>
        </w:tc>
      </w:tr>
    </w:tbl>
    <w:p>
      <w:pPr>
        <w:pStyle w:val="BodyText"/>
      </w:pPr>
      <w:r>
        <w:t xml:space="preserve">Результаты приведены в</w:t>
      </w:r>
      <w:r>
        <w:t xml:space="preserve"> </w:t>
      </w:r>
      <w:hyperlink w:anchor="tbl-growth-scan">
        <w:r>
          <w:rPr>
            <w:rStyle w:val="Hyperlink"/>
          </w:rPr>
          <w:t xml:space="preserve">Таблица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growth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Результаты параметрического сканирования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α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final_numeric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final_analytic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doubling_time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max_abs_error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6.9315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2.2·10⁻¹⁰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20.0855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20.0855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4.0·10⁻⁷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148.413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148.413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3.7·10⁻⁵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2980.95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2980.96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7.6·10⁻³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22026.3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22026.5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1.7·10⁻¹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С ростом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итоговая численность растёт экспоненциально (от</w:t>
      </w:r>
      <w:r>
        <w:t xml:space="preserve"> </w:t>
      </w:r>
      <w:r>
        <w:rPr>
          <w:rStyle w:val="VerbatimChar"/>
        </w:rPr>
        <w:t xml:space="preserve">e¹ ≈ 2.72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e¹⁰ ≈ 22026</w:t>
      </w:r>
      <w:r>
        <w:t xml:space="preserve">), а время удвоения убывает по закону</w:t>
      </w:r>
      <w:r>
        <w:t xml:space="preserve"> </w:t>
      </w:r>
      <w:r>
        <w:rPr>
          <w:rStyle w:val="VerbatimChar"/>
        </w:rPr>
        <w:t xml:space="preserve">T₂ = ln2/α</w:t>
      </w:r>
      <w:r>
        <w:t xml:space="preserve">. Абсолютная погрешность численного решения растёт вместе с величиной</w:t>
      </w:r>
      <w:r>
        <w:t xml:space="preserve"> </w:t>
      </w:r>
      <w:r>
        <w:rPr>
          <w:rStyle w:val="VerbatimChar"/>
        </w:rPr>
        <w:t xml:space="preserve">u</w:t>
      </w:r>
      <w:r>
        <w:t xml:space="preserve">, но относительная погрешность остаётся малой (порядка</w:t>
      </w:r>
      <w:r>
        <w:t xml:space="preserve"> </w:t>
      </w:r>
      <w:r>
        <w:rPr>
          <w:rStyle w:val="VerbatimChar"/>
        </w:rPr>
        <w:t xml:space="preserve">10⁻⁶</w:t>
      </w:r>
      <w:r>
        <w:t xml:space="preserve"> </w:t>
      </w:r>
      <w:r>
        <w:t xml:space="preserve">даже при</w:t>
      </w:r>
      <w:r>
        <w:t xml:space="preserve"> </w:t>
      </w:r>
      <w:r>
        <w:rPr>
          <w:rStyle w:val="VerbatimChar"/>
        </w:rPr>
        <w:t xml:space="preserve">α = 1.0</w:t>
      </w:r>
      <w:r>
        <w:t xml:space="preserve">). Сравнение траекторий приведено на</w:t>
      </w:r>
      <w:r>
        <w:t xml:space="preserve"> </w:t>
      </w:r>
      <w:hyperlink w:anchor="fig-growth-comparison">
        <w:r>
          <w:rPr>
            <w:rStyle w:val="Hyperlink"/>
          </w:rPr>
          <w:t xml:space="preserve">Рисунок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growth-comparison"/>
          <w:p>
            <w:pPr>
              <w:pStyle w:val="Compact"/>
              <w:jc w:val="center"/>
            </w:pPr>
            <w:r>
              <w:drawing>
                <wp:inline>
                  <wp:extent cx="4693920" cy="272247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generated/growth_comparison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7224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Траектории экспоненциального роста для разных</w:t>
            </w:r>
            <w:r>
              <w:t xml:space="preserve"> </w:t>
            </w:r>
            <w:r>
              <w:rPr>
                <w:rStyle w:val="VerbatimChar"/>
              </w:rPr>
              <w:t xml:space="preserve">α</w:t>
            </w:r>
          </w:p>
          <w:bookmarkEnd w:id="49"/>
        </w:tc>
      </w:tr>
    </w:tbl>
    <w:p>
      <w:pPr>
        <w:pStyle w:val="BodyText"/>
      </w:pPr>
      <w:r>
        <w:t xml:space="preserve">Чем больше</w:t>
      </w:r>
      <w:r>
        <w:t xml:space="preserve"> </w:t>
      </w:r>
      <w:r>
        <w:rPr>
          <w:rStyle w:val="VerbatimChar"/>
        </w:rPr>
        <w:t xml:space="preserve">α</w:t>
      </w:r>
      <w:r>
        <w:t xml:space="preserve">, тем круче кривая роста. На</w:t>
      </w:r>
      <w:r>
        <w:t xml:space="preserve"> </w:t>
      </w:r>
      <w:hyperlink w:anchor="fig-growth-doubling">
        <w:r>
          <w:rPr>
            <w:rStyle w:val="Hyperlink"/>
          </w:rPr>
          <w:t xml:space="preserve">Рисунок 7</w:t>
        </w:r>
      </w:hyperlink>
      <w:r>
        <w:t xml:space="preserve"> </w:t>
      </w:r>
      <w:r>
        <w:t xml:space="preserve">показана зависимость времени удвоения от</w:t>
      </w:r>
      <w:r>
        <w:t xml:space="preserve"> </w:t>
      </w:r>
      <w:r>
        <w:rPr>
          <w:rStyle w:val="VerbatimChar"/>
        </w:rPr>
        <w:t xml:space="preserve">α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growth-doubling"/>
          <w:p>
            <w:pPr>
              <w:pStyle w:val="Compact"/>
              <w:jc w:val="center"/>
            </w:pPr>
            <w:r>
              <w:drawing>
                <wp:inline>
                  <wp:extent cx="4693920" cy="262859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generated/growth_doubl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2628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Зависимость времени удвоения от</w:t>
            </w:r>
            <w:r>
              <w:t xml:space="preserve"> </w:t>
            </w:r>
            <w:r>
              <w:rPr>
                <w:rStyle w:val="VerbatimChar"/>
              </w:rPr>
              <w:t xml:space="preserve">α</w:t>
            </w:r>
            <w:r>
              <w:t xml:space="preserve">: имитация и теория</w:t>
            </w:r>
            <w:r>
              <w:t xml:space="preserve"> </w:t>
            </w:r>
            <w:r>
              <w:rPr>
                <w:rStyle w:val="VerbatimChar"/>
              </w:rPr>
              <w:t xml:space="preserve">ln2/α</w:t>
            </w:r>
          </w:p>
          <w:bookmarkEnd w:id="53"/>
        </w:tc>
      </w:tr>
    </w:tbl>
    <w:p>
      <w:pPr>
        <w:pStyle w:val="BodyText"/>
      </w:pPr>
      <w:r>
        <w:t xml:space="preserve">Имитационные точки точно ложатся на теоретическую гиперболу</w:t>
      </w:r>
      <w:r>
        <w:t xml:space="preserve"> </w:t>
      </w:r>
      <w:r>
        <w:rPr>
          <w:rStyle w:val="VerbatimChar"/>
        </w:rPr>
        <w:t xml:space="preserve">T₂ = ln2/α</w:t>
      </w:r>
      <w:r>
        <w:t xml:space="preserve">, что подтверждает согласованность численного решения с аналитикой.</w:t>
      </w:r>
    </w:p>
    <w:bookmarkEnd w:id="54"/>
    <w:bookmarkStart w:id="63" w:name="генерация-literate-материалов"/>
    <w:p>
      <w:pPr>
        <w:pStyle w:val="Heading2"/>
      </w:pPr>
      <w:r>
        <w:t xml:space="preserve">4.7 Генерация literate-материалов</w:t>
      </w:r>
    </w:p>
    <w:p>
      <w:pPr>
        <w:pStyle w:val="FirstParagraph"/>
      </w:pPr>
      <w:r>
        <w:t xml:space="preserve">Сценарий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формирует производные представления из литературных источников: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script_path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scripts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(script_path))[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"_literate"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_clean"</w:t>
      </w:r>
      <w:r>
        <w:rPr>
          <w:rStyle w:val="NormalTok"/>
        </w:rPr>
        <w:t xml:space="preserve">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name, execute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(script_path,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);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name, credit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После запуска были получены</w:t>
      </w:r>
      <w:r>
        <w:t xml:space="preserve"> </w:t>
      </w:r>
      <w:r>
        <w:rPr>
          <w:rStyle w:val="VerbatimChar"/>
        </w:rPr>
        <w:t xml:space="preserve">docs/growth.md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docs/growth_parameters.md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notebooks/growth.ipynb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notebooks/growth_parameters.ipynb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scripts/growth_clean.jl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scripts/growth_parameters_clean.jl</w:t>
      </w:r>
      <w:r>
        <w:t xml:space="preserve">. Вывод сценария:</w:t>
      </w:r>
    </w:p>
    <w:p>
      <w:pPr>
        <w:pStyle w:val="SourceCode"/>
      </w:pPr>
      <w:r>
        <w:rPr>
          <w:rStyle w:val="VerbatimChar"/>
        </w:rPr>
        <w:t xml:space="preserve">generated for growth</w:t>
      </w:r>
      <w:r>
        <w:br/>
      </w:r>
      <w:r>
        <w:rPr>
          <w:rStyle w:val="VerbatimChar"/>
        </w:rPr>
        <w:t xml:space="preserve">generated for growth_parameters</w:t>
      </w:r>
    </w:p>
    <w:p>
      <w:pPr>
        <w:pStyle w:val="FirstParagraph"/>
      </w:pPr>
      <w:r>
        <w:t xml:space="preserve">На</w:t>
      </w:r>
      <w:r>
        <w:t xml:space="preserve"> </w:t>
      </w:r>
      <w:hyperlink w:anchor="fig-tangle-run">
        <w:r>
          <w:rPr>
            <w:rStyle w:val="Hyperlink"/>
          </w:rPr>
          <w:t xml:space="preserve">Рисунок 8</w:t>
        </w:r>
      </w:hyperlink>
      <w:r>
        <w:t xml:space="preserve"> </w:t>
      </w:r>
      <w:r>
        <w:t xml:space="preserve">показан фактический запуск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 генерацией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-скриптов,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-документов и исполняемых notebook-файлов.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tangle-run"/>
          <w:p>
            <w:pPr>
              <w:pStyle w:val="Compact"/>
              <w:jc w:val="center"/>
            </w:pPr>
            <w:r>
              <w:drawing>
                <wp:inline>
                  <wp:extent cx="5120640" cy="185524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5-tangl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0640" cy="1855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сценария</w:t>
            </w:r>
            <w:r>
              <w:t xml:space="preserve"> </w:t>
            </w:r>
            <w:r>
              <w:rPr>
                <w:rStyle w:val="VerbatimChar"/>
              </w:rPr>
              <w:t xml:space="preserve">scripts/tangle.jl</w:t>
            </w:r>
          </w:p>
          <w:bookmarkEnd w:id="58"/>
        </w:tc>
      </w:tr>
    </w:tbl>
    <w:p>
      <w:pPr>
        <w:pStyle w:val="BodyText"/>
      </w:pPr>
      <w:r>
        <w:t xml:space="preserve">Notebook-файлы выполняются при генерации (</w:t>
      </w:r>
      <w:r>
        <w:rPr>
          <w:rStyle w:val="VerbatimChar"/>
        </w:rPr>
        <w:t xml:space="preserve">execute = true</w:t>
      </w:r>
      <w:r>
        <w:t xml:space="preserve">), что подтверждает работоспособность кода. После генерации выполнена проверка состава каталогов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(</w:t>
      </w:r>
      <w:hyperlink w:anchor="fig-check-files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check-files"/>
          <w:p>
            <w:pPr>
              <w:pStyle w:val="Compact"/>
              <w:jc w:val="center"/>
            </w:pPr>
            <w:r>
              <w:drawing>
                <wp:inline>
                  <wp:extent cx="3840480" cy="211253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screenshots/fig06-check-files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0480" cy="2112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содержимого каталогов результатов</w:t>
            </w:r>
          </w:p>
          <w:bookmarkEnd w:id="62"/>
        </w:tc>
      </w:tr>
    </w:tbl>
    <w:bookmarkEnd w:id="63"/>
    <w:bookmarkEnd w:id="64"/>
    <w:bookmarkStart w:id="6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освоены инструменты программной инженерии (семантическое версионирование, общепринятые коммиты, git, ssh, gpg) и подготовлено рабочее пространство курса. Реализована модель экспоненциального роста</w:t>
      </w:r>
      <w:r>
        <w:t xml:space="preserve"> </w:t>
      </w:r>
      <w:r>
        <w:rPr>
          <w:rStyle w:val="VerbatimChar"/>
        </w:rPr>
        <w:t xml:space="preserve">du/dt = α·u</w:t>
      </w:r>
      <w:r>
        <w:t xml:space="preserve"> </w:t>
      </w:r>
      <w:r>
        <w:t xml:space="preserve">методом Рунге–Кутты 4-го порядка; численное решение совпало с аналитическим</w:t>
      </w:r>
      <w:r>
        <w:t xml:space="preserve"> </w:t>
      </w:r>
      <w:r>
        <w:rPr>
          <w:rStyle w:val="VerbatimChar"/>
        </w:rPr>
        <w:t xml:space="preserve">u(t) = u0 e^{α t}</w:t>
      </w:r>
      <w:r>
        <w:t xml:space="preserve"> </w:t>
      </w:r>
      <w:r>
        <w:t xml:space="preserve">с погрешностью порядка</w:t>
      </w:r>
      <w:r>
        <w:t xml:space="preserve"> </w:t>
      </w:r>
      <w:r>
        <w:rPr>
          <w:rStyle w:val="VerbatimChar"/>
        </w:rPr>
        <w:t xml:space="preserve">10⁻⁷</w:t>
      </w:r>
      <w:r>
        <w:t xml:space="preserve"> </w:t>
      </w:r>
      <w:r>
        <w:t xml:space="preserve">для базового сценария. Параметрическое исследование на сетке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подтвердило закон убывания времени удвоения</w:t>
      </w:r>
      <w:r>
        <w:t xml:space="preserve"> </w:t>
      </w:r>
      <w:r>
        <w:rPr>
          <w:rStyle w:val="VerbatimChar"/>
        </w:rPr>
        <w:t xml:space="preserve">T₂ = ln2/α</w:t>
      </w:r>
      <w:r>
        <w:t xml:space="preserve">. Код оформлен в литературном стиле, из единого источника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получены чистые скрипты, markdown-документы и исполняемые notebook-файлы.</w:t>
      </w:r>
    </w:p>
    <w:bookmarkEnd w:id="65"/>
    <w:bookmarkStart w:id="81" w:name="приложение.-команды-воспроизведения"/>
    <w:p>
      <w:pPr>
        <w:pStyle w:val="Heading1"/>
      </w:pPr>
      <w:r>
        <w:t xml:space="preserve">6. Приложение. Команды воспроизведения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~/labs/lab01/project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'using Pkg; Pkg.instantiate()'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'include("scripts/growth.jl")'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'include("scripts/growth_parameters.jl")'</w:t>
      </w:r>
      <w:r>
        <w:br/>
      </w:r>
      <w:r>
        <w:rPr>
          <w:rStyle w:val="ExtensionTok"/>
        </w:rPr>
        <w:t xml:space="preserve">~/.juliaup/bin/julia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scripts/tangle.jl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~/labs/lab01/report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simulation-modeling-lab01-report.qmd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simulation-modeling-lab01-report.qmd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~/labs/lab01/presentation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simulation-modeling-lab01-presentation.qmd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beamer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simulation-modeling-lab01-presentation.qmd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revealjs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simulation-modeling-lab01-presentation.qmd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pptx</w:t>
      </w:r>
    </w:p>
    <w:bookmarkStart w:id="80" w:name="refs"/>
    <w:bookmarkStart w:id="67" w:name="ref-semver_2013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Preston-Werner T.</w:t>
      </w:r>
      <w:r>
        <w:t xml:space="preserve"> </w:t>
      </w:r>
      <w:hyperlink r:id="rId66">
        <w:r>
          <w:rPr>
            <w:rStyle w:val="Hyperlink"/>
          </w:rPr>
          <w:t xml:space="preserve">Semantic Versioning 2.0.0</w:t>
        </w:r>
      </w:hyperlink>
      <w:r>
        <w:t xml:space="preserve">. 2013.</w:t>
      </w:r>
    </w:p>
    <w:bookmarkEnd w:id="67"/>
    <w:bookmarkStart w:id="69" w:name="ref-conventional_commit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Conventional Commits.</w:t>
      </w:r>
      <w:r>
        <w:t xml:space="preserve"> </w:t>
      </w:r>
      <w:hyperlink r:id="rId68">
        <w:r>
          <w:rPr>
            <w:rStyle w:val="Hyperlink"/>
          </w:rPr>
          <w:t xml:space="preserve">Conventional Commits 1.0.0</w:t>
        </w:r>
      </w:hyperlink>
      <w:r>
        <w:t xml:space="preserve">. 2023.</w:t>
      </w:r>
    </w:p>
    <w:bookmarkEnd w:id="69"/>
    <w:bookmarkStart w:id="70" w:name="ref-malthus_1798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Malthus T. R. An Essay on the Principle of Population. London: J. Johnson, 1798.</w:t>
      </w:r>
    </w:p>
    <w:bookmarkEnd w:id="70"/>
    <w:bookmarkStart w:id="71" w:name="ref-strogatz_2014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Strogatz S. H. Nonlinear Dynamics and Chaos. 2-е изд. Boulder, CO: Westview Press, 2014.</w:t>
      </w:r>
    </w:p>
    <w:bookmarkEnd w:id="71"/>
    <w:bookmarkStart w:id="73" w:name="ref-knuth_198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72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73"/>
    <w:bookmarkStart w:id="75" w:name="ref-drwatson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74">
        <w:r>
          <w:rPr>
            <w:rStyle w:val="Hyperlink"/>
          </w:rPr>
          <w:t xml:space="preserve">DrWatson.jl Documentation</w:t>
        </w:r>
      </w:hyperlink>
      <w:r>
        <w:t xml:space="preserve">. 2024.</w:t>
      </w:r>
    </w:p>
    <w:bookmarkEnd w:id="75"/>
    <w:bookmarkStart w:id="77" w:name="ref-literate_jl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Ekre F., contributors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Literate.jl Documentation</w:t>
        </w:r>
      </w:hyperlink>
      <w:r>
        <w:t xml:space="preserve">. 2024.</w:t>
      </w:r>
    </w:p>
    <w:bookmarkEnd w:id="77"/>
    <w:bookmarkStart w:id="79" w:name="ref-julia_2017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78">
        <w:r>
          <w:rPr>
            <w:rStyle w:val="Hyperlink"/>
          </w:rPr>
          <w:t xml:space="preserve">Julia: A Fresh Approach to Numerical Computing</w:t>
        </w:r>
      </w:hyperlink>
      <w:r>
        <w:t xml:space="preserve">. 2017.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hyperlink" Id="rId72" Target="https://doi.org/10.1093/comjnl/27.2.97" TargetMode="External" /><Relationship Type="http://schemas.openxmlformats.org/officeDocument/2006/relationships/hyperlink" Id="rId78" Target="https://doi.org/10.1137/141000671" TargetMode="External" /><Relationship Type="http://schemas.openxmlformats.org/officeDocument/2006/relationships/hyperlink" Id="rId76" Target="https://fredrikekre.github.io/Literate.jl/v2/" TargetMode="External" /><Relationship Type="http://schemas.openxmlformats.org/officeDocument/2006/relationships/hyperlink" Id="rId74" Target="https://juliadynamics.github.io/DrWatson.jl/stable/" TargetMode="External" /><Relationship Type="http://schemas.openxmlformats.org/officeDocument/2006/relationships/hyperlink" Id="rId66" Target="https://semver.org/" TargetMode="External" /><Relationship Type="http://schemas.openxmlformats.org/officeDocument/2006/relationships/hyperlink" Id="rId68" Target="https://www.conventionalcommi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doi.org/10.1093/comjnl/27.2.97" TargetMode="External" /><Relationship Type="http://schemas.openxmlformats.org/officeDocument/2006/relationships/hyperlink" Id="rId78" Target="https://doi.org/10.1137/141000671" TargetMode="External" /><Relationship Type="http://schemas.openxmlformats.org/officeDocument/2006/relationships/hyperlink" Id="rId76" Target="https://fredrikekre.github.io/Literate.jl/v2/" TargetMode="External" /><Relationship Type="http://schemas.openxmlformats.org/officeDocument/2006/relationships/hyperlink" Id="rId74" Target="https://juliadynamics.github.io/DrWatson.jl/stable/" TargetMode="External" /><Relationship Type="http://schemas.openxmlformats.org/officeDocument/2006/relationships/hyperlink" Id="rId66" Target="https://semver.org/" TargetMode="External" /><Relationship Type="http://schemas.openxmlformats.org/officeDocument/2006/relationships/hyperlink" Id="rId68" Target="https://www.conventionalcommi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Глущенко Евгений Игоревич</dc:creator>
  <dc:language>ru-RU</dc:language>
  <cp:keywords/>
  <dcterms:created xsi:type="dcterms:W3CDTF">2026-05-29T19:16:21Z</dcterms:created>
  <dcterms:modified xsi:type="dcterms:W3CDTF">2026-05-29T19:16:21Z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2026-05-29</vt:lpwstr>
  </property>
  <property fmtid="{D5CDD505-2E9C-101B-9397-08002B2CF9AE}" pid="11" name="date-format">
    <vt:lpwstr>YYYY-MM-DD</vt:lpwstr>
  </property>
  <property fmtid="{D5CDD505-2E9C-101B-9397-08002B2CF9AE}" pid="12" name="engines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license">
    <vt:lpwstr/>
  </property>
  <property fmtid="{D5CDD505-2E9C-101B-9397-08002B2CF9AE}" pid="18" name="subtitle">
    <vt:lpwstr>Подготовка рабочего пространства. Модель экспоненциального роста</vt:lpwstr>
  </property>
  <property fmtid="{D5CDD505-2E9C-101B-9397-08002B2CF9AE}" pid="19" name="toc-title">
    <vt:lpwstr>Содержание</vt:lpwstr>
  </property>
</Properties>
</file>