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Глущенко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Настройка рабочей среды с помощью менеджера паролей pass.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по.</w:t>
      </w:r>
      <w:r>
        <w:t xml:space="preserve"> </w:t>
      </w:r>
      <w:r>
        <w:t xml:space="preserve">Изучить принцип работы менеджера паролей pass</w:t>
      </w:r>
      <w:r>
        <w:t xml:space="preserve"> </w:t>
      </w:r>
      <w:r>
        <w:t xml:space="preserve">Установить доп по.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BodyText"/>
      </w:pPr>
      <w:r>
        <w:t xml:space="preserve">Установка gopass (рис fig. 1)</w:t>
      </w:r>
    </w:p>
    <w:p>
      <w:pPr>
        <w:pStyle w:val="CaptionedFigure"/>
      </w:pPr>
      <w:r>
        <w:drawing>
          <wp:inline>
            <wp:extent cx="3733800" cy="907852"/>
            <wp:effectExtent b="0" l="0" r="0" t="0"/>
            <wp:docPr descr="Gopas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7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Gopass</w:t>
      </w:r>
    </w:p>
    <w:p>
      <w:pPr>
        <w:pStyle w:val="BodyText"/>
      </w:pPr>
      <w:r>
        <w:t xml:space="preserve">Устанавливаю pass ( рис fig. 2)</w:t>
      </w:r>
    </w:p>
    <w:p>
      <w:pPr>
        <w:pStyle w:val="CaptionedFigure"/>
      </w:pPr>
      <w:r>
        <w:drawing>
          <wp:inline>
            <wp:extent cx="3733800" cy="1243398"/>
            <wp:effectExtent b="0" l="0" r="0" t="0"/>
            <wp:docPr descr="pas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pass</w:t>
      </w:r>
    </w:p>
    <w:p>
      <w:pPr>
        <w:pStyle w:val="BodyText"/>
      </w:pPr>
      <w:r>
        <w:t xml:space="preserve">Создаю gpg ключ( fig. 3)</w:t>
      </w:r>
    </w:p>
    <w:p>
      <w:pPr>
        <w:pStyle w:val="CaptionedFigure"/>
      </w:pPr>
      <w:r>
        <w:drawing>
          <wp:inline>
            <wp:extent cx="3733800" cy="859523"/>
            <wp:effectExtent b="0" l="0" r="0" t="0"/>
            <wp:docPr descr="gpg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gpg</w:t>
      </w:r>
    </w:p>
    <w:p>
      <w:pPr>
        <w:pStyle w:val="CaptionedFigure"/>
      </w:pPr>
      <w:r>
        <w:drawing>
          <wp:inline>
            <wp:extent cx="3733800" cy="1612872"/>
            <wp:effectExtent b="0" l="0" r="0" t="0"/>
            <wp:docPr descr="gpg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gpg</w:t>
      </w:r>
    </w:p>
    <w:p>
      <w:pPr>
        <w:pStyle w:val="BodyText"/>
      </w:pPr>
      <w:r>
        <w:t xml:space="preserve">инициализирую с хранилищем( fig. 5)</w:t>
      </w:r>
    </w:p>
    <w:p>
      <w:pPr>
        <w:pStyle w:val="CaptionedFigure"/>
      </w:pPr>
      <w:r>
        <w:drawing>
          <wp:inline>
            <wp:extent cx="3733800" cy="514706"/>
            <wp:effectExtent b="0" l="0" r="0" t="0"/>
            <wp:docPr descr="Инициализац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Инициализация</w:t>
      </w:r>
    </w:p>
    <w:p>
      <w:pPr>
        <w:pStyle w:val="BodyText"/>
      </w:pPr>
      <w:r>
        <w:t xml:space="preserve">Синхронизирую с github ( fig. 6)</w:t>
      </w:r>
    </w:p>
    <w:p>
      <w:pPr>
        <w:pStyle w:val="CaptionedFigure"/>
      </w:pPr>
      <w:r>
        <w:drawing>
          <wp:inline>
            <wp:extent cx="3733800" cy="1714325"/>
            <wp:effectExtent b="0" l="0" r="0" t="0"/>
            <wp:docPr descr="Синхронизация с гитхабом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Синхронизация с гитхабом</w:t>
      </w:r>
    </w:p>
    <w:p>
      <w:pPr>
        <w:pStyle w:val="BodyText"/>
      </w:pPr>
      <w:r>
        <w:t xml:space="preserve">Добавляю browzerpass в браузер ( fig. 7)</w:t>
      </w:r>
    </w:p>
    <w:p>
      <w:pPr>
        <w:pStyle w:val="CaptionedFigure"/>
      </w:pPr>
      <w:r>
        <w:drawing>
          <wp:inline>
            <wp:extent cx="3672968" cy="1736591"/>
            <wp:effectExtent b="0" l="0" r="0" t="0"/>
            <wp:docPr descr="Browzerpass в браузер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173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Browzerpass в браузер</w:t>
      </w:r>
    </w:p>
    <w:p>
      <w:pPr>
        <w:pStyle w:val="BodyText"/>
      </w:pPr>
      <w:r>
        <w:t xml:space="preserve">Устанавливаю dunst (fig. 8)</w:t>
      </w:r>
    </w:p>
    <w:p>
      <w:pPr>
        <w:pStyle w:val="CaptionedFigure"/>
      </w:pPr>
      <w:r>
        <w:drawing>
          <wp:inline>
            <wp:extent cx="3733800" cy="930883"/>
            <wp:effectExtent b="0" l="0" r="0" t="0"/>
            <wp:docPr descr="dunst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dunst</w:t>
      </w:r>
    </w:p>
    <w:p>
      <w:pPr>
        <w:pStyle w:val="BodyText"/>
      </w:pPr>
      <w:r>
        <w:t xml:space="preserve">Устанавливаю light (fig. 9)</w:t>
      </w:r>
    </w:p>
    <w:p>
      <w:pPr>
        <w:pStyle w:val="CaptionedFigure"/>
      </w:pPr>
      <w:r>
        <w:drawing>
          <wp:inline>
            <wp:extent cx="3733800" cy="1219617"/>
            <wp:effectExtent b="0" l="0" r="0" t="0"/>
            <wp:docPr descr="light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9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light</w:t>
      </w:r>
    </w:p>
    <w:p>
      <w:pPr>
        <w:pStyle w:val="BodyText"/>
      </w:pPr>
      <w:r>
        <w:t xml:space="preserve">Устанавливаю swaylock (fig. 10)</w:t>
      </w:r>
    </w:p>
    <w:p>
      <w:pPr>
        <w:pStyle w:val="CaptionedFigure"/>
      </w:pPr>
      <w:r>
        <w:drawing>
          <wp:inline>
            <wp:extent cx="3733800" cy="1480467"/>
            <wp:effectExtent b="0" l="0" r="0" t="0"/>
            <wp:docPr descr="Swaylock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Swaylock</w:t>
      </w:r>
    </w:p>
    <w:p>
      <w:pPr>
        <w:pStyle w:val="BodyText"/>
      </w:pPr>
      <w:r>
        <w:t xml:space="preserve">Устанавливаю kitty (fig. 11)</w:t>
      </w:r>
    </w:p>
    <w:p>
      <w:pPr>
        <w:pStyle w:val="CaptionedFigure"/>
      </w:pPr>
      <w:r>
        <w:drawing>
          <wp:inline>
            <wp:extent cx="3733800" cy="1203793"/>
            <wp:effectExtent b="0" l="0" r="0" t="0"/>
            <wp:docPr descr="kitty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kitty</w:t>
      </w:r>
    </w:p>
    <w:p>
      <w:pPr>
        <w:pStyle w:val="BodyText"/>
      </w:pPr>
      <w:r>
        <w:t xml:space="preserve">Устанавлива warbar-swaybg (fig. 12)</w:t>
      </w:r>
    </w:p>
    <w:p>
      <w:pPr>
        <w:pStyle w:val="CaptionedFigure"/>
      </w:pPr>
      <w:r>
        <w:drawing>
          <wp:inline>
            <wp:extent cx="3733800" cy="1469541"/>
            <wp:effectExtent b="0" l="0" r="0" t="0"/>
            <wp:docPr descr="Wabar-swaybg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Wabar-swaybg</w:t>
      </w:r>
    </w:p>
    <w:p>
      <w:pPr>
        <w:pStyle w:val="BodyText"/>
      </w:pPr>
      <w:r>
        <w:t xml:space="preserve">Устанавливаю mpv (fig. 13)</w:t>
      </w:r>
    </w:p>
    <w:p>
      <w:pPr>
        <w:pStyle w:val="CaptionedFigure"/>
      </w:pPr>
      <w:r>
        <w:drawing>
          <wp:inline>
            <wp:extent cx="3733800" cy="2071254"/>
            <wp:effectExtent b="0" l="0" r="0" t="0"/>
            <wp:docPr descr="mpv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mpv</w:t>
      </w:r>
    </w:p>
    <w:p>
      <w:pPr>
        <w:pStyle w:val="BodyText"/>
      </w:pPr>
      <w:r>
        <w:t xml:space="preserve">Устанавливаю grim (fig. </w:t>
      </w:r>
      <w:r>
        <w:rPr>
          <w:bCs/>
          <w:b/>
        </w:rPr>
        <w:t xml:space="preserve">¿fig:014?</w:t>
      </w:r>
      <w:r>
        <w:t xml:space="preserve">)</w:t>
      </w:r>
      <w:r>
        <w:t xml:space="preserve"> </w:t>
      </w:r>
      <w:bookmarkStart w:id="64" w:name="fig:014"/>
      <w:r>
        <w:drawing>
          <wp:inline>
            <wp:extent cx="3733800" cy="1604665"/>
            <wp:effectExtent b="0" l="0" r="0" t="0"/>
            <wp:docPr descr="gri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t xml:space="preserve">Устанавливаю бинарный файл (fig. 14)</w:t>
      </w:r>
    </w:p>
    <w:p>
      <w:pPr>
        <w:pStyle w:val="CaptionedFigure"/>
      </w:pPr>
      <w:r>
        <w:drawing>
          <wp:inline>
            <wp:extent cx="3733800" cy="441556"/>
            <wp:effectExtent b="0" l="0" r="0" t="0"/>
            <wp:docPr descr="Бинарный файл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Бинарный файл</w:t>
      </w:r>
    </w:p>
    <w:p>
      <w:pPr>
        <w:pStyle w:val="BodyText"/>
      </w:pPr>
      <w:r>
        <w:t xml:space="preserve">Создаю новый репозиторий (fig. 15)</w:t>
      </w:r>
    </w:p>
    <w:p>
      <w:pPr>
        <w:pStyle w:val="CaptionedFigure"/>
      </w:pPr>
      <w:r>
        <w:drawing>
          <wp:inline>
            <wp:extent cx="3733800" cy="409557"/>
            <wp:effectExtent b="0" l="0" r="0" t="0"/>
            <wp:docPr descr="Новый репозиторий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Новый репозиторий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понял как работать с менеджером паролей pass</w:t>
      </w:r>
    </w:p>
    <w:bookmarkEnd w:id="72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Глущенко Евгений Игоревич</dc:creator>
  <dc:language>ru-RU</dc:language>
  <cp:keywords/>
  <dcterms:created xsi:type="dcterms:W3CDTF">2024-03-16T18:56:13Z</dcterms:created>
  <dcterms:modified xsi:type="dcterms:W3CDTF">2024-03-16T18:56:13Z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