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BDC98" w14:textId="1AA21FFD" w:rsidR="00310DCC" w:rsidRDefault="00310DCC" w:rsidP="00310DCC">
      <w:pPr>
        <w:pStyle w:val="Rubrik"/>
      </w:pPr>
      <w:r>
        <w:t xml:space="preserve">Part 1: The effect of treatment on different </w:t>
      </w:r>
      <w:r>
        <w:rPr>
          <w:i/>
          <w:iCs/>
        </w:rPr>
        <w:t xml:space="preserve">Dalechampia </w:t>
      </w:r>
      <w:r>
        <w:t>species</w:t>
      </w:r>
    </w:p>
    <w:p w14:paraId="58B1DC90" w14:textId="419C27C1" w:rsidR="00310DCC" w:rsidRPr="00310DCC" w:rsidRDefault="00310DCC" w:rsidP="00310DCC">
      <w:pPr>
        <w:jc w:val="center"/>
      </w:pPr>
      <w:r>
        <w:t>By: Eila Forsman, BIOS14, January 2023.</w:t>
      </w:r>
    </w:p>
    <w:p w14:paraId="43A281C5" w14:textId="080D719A" w:rsidR="00855398" w:rsidRPr="00855398" w:rsidRDefault="00855398" w:rsidP="00855398">
      <w:pPr>
        <w:pStyle w:val="Rubrik1"/>
      </w:pPr>
      <w:r w:rsidRPr="00855398">
        <w:t>Introduction</w:t>
      </w:r>
    </w:p>
    <w:p w14:paraId="63C1E7B9" w14:textId="613A044B" w:rsidR="00855398" w:rsidRPr="00855398" w:rsidRDefault="00855398" w:rsidP="00855398"/>
    <w:p w14:paraId="7F9747BC" w14:textId="35A6B772" w:rsidR="00855398" w:rsidRDefault="00855398" w:rsidP="00855398">
      <w:pPr>
        <w:rPr>
          <w:rFonts w:eastAsia="Times New Roman" w:cs="Times New Roman"/>
          <w:lang w:eastAsia="sv-SE"/>
        </w:rPr>
      </w:pPr>
      <w:r>
        <w:rPr>
          <w:rFonts w:eastAsia="Times New Roman" w:cs="Times New Roman"/>
          <w:lang w:eastAsia="sv-SE"/>
        </w:rPr>
        <w:t>Data was collected</w:t>
      </w:r>
      <w:r w:rsidRPr="00855398">
        <w:rPr>
          <w:rFonts w:eastAsia="Times New Roman" w:cs="Times New Roman"/>
          <w:lang w:eastAsia="sv-SE"/>
        </w:rPr>
        <w:t xml:space="preserve"> from an experiment in which </w:t>
      </w:r>
      <w:r w:rsidRPr="00855398">
        <w:rPr>
          <w:rFonts w:eastAsia="Times New Roman" w:cs="Times New Roman"/>
          <w:i/>
          <w:iCs/>
          <w:lang w:eastAsia="sv-SE"/>
        </w:rPr>
        <w:t>Dalechampia</w:t>
      </w:r>
      <w:r w:rsidRPr="00855398">
        <w:rPr>
          <w:rFonts w:eastAsia="Times New Roman" w:cs="Times New Roman"/>
          <w:lang w:eastAsia="sv-SE"/>
        </w:rPr>
        <w:t xml:space="preserve"> plants from two populations each of two species (“S” and “L”) were exposed to either dry or wet experimental conditions in a greenhouse. Blossom traits were measured on blossoms in early bisexual condition.</w:t>
      </w:r>
      <w:r>
        <w:rPr>
          <w:rFonts w:eastAsia="Times New Roman" w:cs="Times New Roman"/>
          <w:lang w:eastAsia="sv-SE"/>
        </w:rPr>
        <w:t xml:space="preserve"> </w:t>
      </w:r>
      <w:r w:rsidRPr="00855398">
        <w:rPr>
          <w:rFonts w:eastAsia="Times New Roman" w:cs="Times New Roman"/>
          <w:i/>
          <w:iCs/>
          <w:lang w:eastAsia="sv-SE"/>
        </w:rPr>
        <w:t>Dalechampia sp</w:t>
      </w:r>
      <w:r>
        <w:rPr>
          <w:rFonts w:eastAsia="Times New Roman" w:cs="Times New Roman"/>
          <w:lang w:eastAsia="sv-SE"/>
        </w:rPr>
        <w:t>. grows in the Neotropical region (</w:t>
      </w:r>
      <w:r w:rsidRPr="00855398">
        <w:rPr>
          <w:rFonts w:eastAsia="Times New Roman" w:cs="Times New Roman"/>
          <w:lang w:eastAsia="sv-SE"/>
        </w:rPr>
        <w:t>Armbruster, 1985</w:t>
      </w:r>
      <w:r>
        <w:rPr>
          <w:rFonts w:eastAsia="Times New Roman" w:cs="Times New Roman"/>
          <w:lang w:eastAsia="sv-SE"/>
        </w:rPr>
        <w:t xml:space="preserve">) which leads me to believe that it prefers wetter environments. I will therefore investigate whether the wet or dry treatment affects blossom size and whether this effect differs between the different </w:t>
      </w:r>
      <w:r w:rsidRPr="00855398">
        <w:rPr>
          <w:rFonts w:eastAsia="Times New Roman" w:cs="Times New Roman"/>
          <w:i/>
          <w:iCs/>
          <w:lang w:eastAsia="sv-SE"/>
        </w:rPr>
        <w:t>Dalechampia</w:t>
      </w:r>
      <w:r>
        <w:rPr>
          <w:rFonts w:eastAsia="Times New Roman" w:cs="Times New Roman"/>
          <w:i/>
          <w:iCs/>
          <w:lang w:eastAsia="sv-SE"/>
        </w:rPr>
        <w:t xml:space="preserve"> </w:t>
      </w:r>
      <w:r>
        <w:rPr>
          <w:rFonts w:eastAsia="Times New Roman" w:cs="Times New Roman"/>
          <w:lang w:eastAsia="sv-SE"/>
        </w:rPr>
        <w:t>species.</w:t>
      </w:r>
    </w:p>
    <w:p w14:paraId="2634C957" w14:textId="77777777" w:rsidR="00855398" w:rsidRDefault="00855398" w:rsidP="00855398">
      <w:pPr>
        <w:pStyle w:val="Rubrik1"/>
        <w:rPr>
          <w:rFonts w:eastAsia="Times New Roman"/>
          <w:lang w:eastAsia="sv-SE"/>
        </w:rPr>
      </w:pPr>
      <w:r>
        <w:rPr>
          <w:rFonts w:eastAsia="Times New Roman"/>
          <w:lang w:eastAsia="sv-SE"/>
        </w:rPr>
        <w:t>Method</w:t>
      </w:r>
    </w:p>
    <w:p w14:paraId="362E7BB4" w14:textId="77777777" w:rsidR="00855398" w:rsidRDefault="00855398" w:rsidP="00855398">
      <w:pPr>
        <w:rPr>
          <w:lang w:eastAsia="sv-SE"/>
        </w:rPr>
      </w:pPr>
    </w:p>
    <w:p w14:paraId="51CCCCC2" w14:textId="2157D1D5" w:rsidR="00855398" w:rsidRDefault="00C12BC1" w:rsidP="00855398">
      <w:pPr>
        <w:rPr>
          <w:lang w:eastAsia="sv-SE"/>
        </w:rPr>
      </w:pPr>
      <w:r>
        <w:rPr>
          <w:lang w:eastAsia="sv-SE"/>
        </w:rPr>
        <w:t xml:space="preserve">Histograms were used to </w:t>
      </w:r>
      <w:r w:rsidR="00310DCC">
        <w:rPr>
          <w:lang w:eastAsia="sv-SE"/>
        </w:rPr>
        <w:t>determine</w:t>
      </w:r>
      <w:r>
        <w:rPr>
          <w:lang w:eastAsia="sv-SE"/>
        </w:rPr>
        <w:t xml:space="preserve"> normal distribution</w:t>
      </w:r>
      <w:r w:rsidR="00310DCC">
        <w:rPr>
          <w:lang w:eastAsia="sv-SE"/>
        </w:rPr>
        <w:t xml:space="preserve"> on upper and lower bract width</w:t>
      </w:r>
      <w:r>
        <w:rPr>
          <w:lang w:eastAsia="sv-SE"/>
        </w:rPr>
        <w:t xml:space="preserve">. </w:t>
      </w:r>
      <w:r w:rsidR="00310DCC">
        <w:rPr>
          <w:lang w:eastAsia="sv-SE"/>
        </w:rPr>
        <w:t>L</w:t>
      </w:r>
      <w:r w:rsidR="00855398">
        <w:rPr>
          <w:lang w:eastAsia="sv-SE"/>
        </w:rPr>
        <w:t xml:space="preserve">inear regression </w:t>
      </w:r>
      <w:r w:rsidR="00310DCC">
        <w:rPr>
          <w:lang w:eastAsia="sv-SE"/>
        </w:rPr>
        <w:t xml:space="preserve">was used </w:t>
      </w:r>
      <w:r w:rsidR="00855398">
        <w:rPr>
          <w:lang w:eastAsia="sv-SE"/>
        </w:rPr>
        <w:t xml:space="preserve">to check for correlation between lower and upper bract width, which was then used to infer that upper bract width could be used as an estimate for the entire blossom size. </w:t>
      </w:r>
      <w:r w:rsidR="00310DCC">
        <w:rPr>
          <w:lang w:eastAsia="sv-SE"/>
        </w:rPr>
        <w:t>C</w:t>
      </w:r>
      <w:r w:rsidR="00855398">
        <w:rPr>
          <w:lang w:eastAsia="sv-SE"/>
        </w:rPr>
        <w:t>ompar</w:t>
      </w:r>
      <w:r w:rsidR="00310DCC">
        <w:rPr>
          <w:lang w:eastAsia="sv-SE"/>
        </w:rPr>
        <w:t>ison of</w:t>
      </w:r>
      <w:r w:rsidR="00855398">
        <w:rPr>
          <w:lang w:eastAsia="sv-SE"/>
        </w:rPr>
        <w:t xml:space="preserve"> the effect of wet or dry treatment on upper bract width </w:t>
      </w:r>
      <w:r>
        <w:rPr>
          <w:lang w:eastAsia="sv-SE"/>
        </w:rPr>
        <w:t xml:space="preserve">for the two species </w:t>
      </w:r>
      <w:r w:rsidR="00310DCC">
        <w:rPr>
          <w:lang w:eastAsia="sv-SE"/>
        </w:rPr>
        <w:t>was performed with a</w:t>
      </w:r>
      <w:r>
        <w:rPr>
          <w:lang w:eastAsia="sv-SE"/>
        </w:rPr>
        <w:t xml:space="preserve"> Two-way ANOVA</w:t>
      </w:r>
      <w:r w:rsidR="00855398">
        <w:rPr>
          <w:lang w:eastAsia="sv-SE"/>
        </w:rPr>
        <w:t xml:space="preserve"> with treatment and</w:t>
      </w:r>
      <w:r>
        <w:rPr>
          <w:lang w:eastAsia="sv-SE"/>
        </w:rPr>
        <w:t xml:space="preserve"> species as predictors and upper bract</w:t>
      </w:r>
      <w:r w:rsidR="00855398">
        <w:rPr>
          <w:lang w:eastAsia="sv-SE"/>
        </w:rPr>
        <w:t xml:space="preserve"> width as </w:t>
      </w:r>
      <w:r>
        <w:rPr>
          <w:lang w:eastAsia="sv-SE"/>
        </w:rPr>
        <w:t>the response variable</w:t>
      </w:r>
      <w:r w:rsidR="00310DCC">
        <w:rPr>
          <w:lang w:eastAsia="sv-SE"/>
        </w:rPr>
        <w:t xml:space="preserve"> (</w:t>
      </w:r>
      <w:r w:rsidR="00310DCC" w:rsidRPr="00310DCC">
        <w:rPr>
          <w:lang w:eastAsia="sv-SE"/>
        </w:rPr>
        <w:t>https://github.com/eilaforsman/BIOS14.git</w:t>
      </w:r>
      <w:r w:rsidR="00310DCC">
        <w:rPr>
          <w:lang w:eastAsia="sv-SE"/>
        </w:rPr>
        <w:t>)</w:t>
      </w:r>
      <w:r>
        <w:rPr>
          <w:lang w:eastAsia="sv-SE"/>
        </w:rPr>
        <w:t>.</w:t>
      </w:r>
    </w:p>
    <w:p w14:paraId="48A49E7C" w14:textId="77777777" w:rsidR="00855398" w:rsidRDefault="00855398" w:rsidP="00855398">
      <w:pPr>
        <w:pStyle w:val="Rubrik1"/>
        <w:rPr>
          <w:lang w:eastAsia="sv-SE"/>
        </w:rPr>
      </w:pPr>
      <w:r>
        <w:rPr>
          <w:lang w:eastAsia="sv-SE"/>
        </w:rPr>
        <w:t>Results</w:t>
      </w:r>
    </w:p>
    <w:p w14:paraId="12C2C66D" w14:textId="77777777" w:rsidR="00855398" w:rsidRDefault="00855398" w:rsidP="00855398">
      <w:pPr>
        <w:rPr>
          <w:lang w:eastAsia="sv-SE"/>
        </w:rPr>
      </w:pPr>
    </w:p>
    <w:p w14:paraId="642D5753" w14:textId="1CBF48FC" w:rsidR="00C12BC1" w:rsidRDefault="00855398" w:rsidP="00855398">
      <w:pPr>
        <w:rPr>
          <w:lang w:eastAsia="sv-SE"/>
        </w:rPr>
      </w:pPr>
      <w:r>
        <w:rPr>
          <w:lang w:eastAsia="sv-SE"/>
        </w:rPr>
        <w:t xml:space="preserve">Lower and upper bract width were strongly correlated </w:t>
      </w:r>
      <w:r w:rsidR="00C12BC1">
        <w:rPr>
          <w:lang w:eastAsia="sv-SE"/>
        </w:rPr>
        <w:t xml:space="preserve">where </w:t>
      </w:r>
      <w:r w:rsidR="00310DCC">
        <w:rPr>
          <w:lang w:eastAsia="sv-SE"/>
        </w:rPr>
        <w:t>1mm</w:t>
      </w:r>
      <w:r w:rsidR="00C12BC1">
        <w:rPr>
          <w:lang w:eastAsia="sv-SE"/>
        </w:rPr>
        <w:t xml:space="preserve"> change in lower bract width led to a </w:t>
      </w:r>
      <w:r w:rsidR="00310DCC">
        <w:rPr>
          <w:lang w:eastAsia="sv-SE"/>
        </w:rPr>
        <w:t>0.</w:t>
      </w:r>
      <w:r w:rsidR="00C12BC1">
        <w:rPr>
          <w:lang w:eastAsia="sv-SE"/>
        </w:rPr>
        <w:t>91</w:t>
      </w:r>
      <w:r w:rsidR="00310DCC">
        <w:rPr>
          <w:lang w:eastAsia="sv-SE"/>
        </w:rPr>
        <w:t>mm</w:t>
      </w:r>
      <w:r w:rsidR="00C12BC1">
        <w:rPr>
          <w:lang w:eastAsia="sv-SE"/>
        </w:rPr>
        <w:t xml:space="preserve"> change in upper bract width</w:t>
      </w:r>
      <w:r>
        <w:rPr>
          <w:lang w:eastAsia="sv-SE"/>
        </w:rPr>
        <w:t xml:space="preserve"> </w:t>
      </w:r>
      <w:r w:rsidR="00C12BC1">
        <w:rPr>
          <w:lang w:eastAsia="sv-SE"/>
        </w:rPr>
        <w:t>(</w:t>
      </w:r>
      <w:r>
        <w:rPr>
          <w:lang w:eastAsia="sv-SE"/>
        </w:rPr>
        <w:t>R=0.91</w:t>
      </w:r>
      <w:r w:rsidR="00C12BC1">
        <w:rPr>
          <w:lang w:eastAsia="sv-SE"/>
        </w:rPr>
        <w:t>,</w:t>
      </w:r>
      <w:r>
        <w:rPr>
          <w:lang w:eastAsia="sv-SE"/>
        </w:rPr>
        <w:t xml:space="preserve"> </w:t>
      </w:r>
      <w:r w:rsidR="00C12BC1">
        <w:rPr>
          <w:lang w:eastAsia="sv-SE"/>
        </w:rPr>
        <w:t>p &lt; 0.001, fig</w:t>
      </w:r>
      <w:r>
        <w:rPr>
          <w:lang w:eastAsia="sv-SE"/>
        </w:rPr>
        <w:t xml:space="preserve"> 1). </w:t>
      </w:r>
      <w:r w:rsidR="00C12BC1">
        <w:rPr>
          <w:lang w:eastAsia="sv-SE"/>
        </w:rPr>
        <w:t xml:space="preserve">There were 177 </w:t>
      </w:r>
      <w:r w:rsidR="00C12BC1">
        <w:rPr>
          <w:i/>
          <w:iCs/>
          <w:lang w:eastAsia="sv-SE"/>
        </w:rPr>
        <w:t xml:space="preserve">Dalechampia </w:t>
      </w:r>
      <w:r w:rsidR="00C12BC1">
        <w:rPr>
          <w:lang w:eastAsia="sv-SE"/>
        </w:rPr>
        <w:t>plants subjected to the dry treatment and 187 plants in the wet treatment. The blossoms grew 22.4% bigger in the wet treatment than in the dry treatment (mean upper bract width 21.7 mm and 16.8 mm respectively, F</w:t>
      </w:r>
      <w:r w:rsidR="00C12BC1">
        <w:rPr>
          <w:vertAlign w:val="subscript"/>
          <w:lang w:eastAsia="sv-SE"/>
        </w:rPr>
        <w:t xml:space="preserve">2,360 </w:t>
      </w:r>
      <w:r w:rsidR="00C12BC1">
        <w:rPr>
          <w:lang w:eastAsia="sv-SE"/>
        </w:rPr>
        <w:t xml:space="preserve">= 9128,14, p &lt; 0.001, fig 2, tab 1). </w:t>
      </w:r>
      <w:r w:rsidR="00C12BC1">
        <w:rPr>
          <w:i/>
          <w:iCs/>
          <w:lang w:eastAsia="sv-SE"/>
        </w:rPr>
        <w:t xml:space="preserve">Dalechampia </w:t>
      </w:r>
      <w:r w:rsidR="00C12BC1">
        <w:rPr>
          <w:lang w:eastAsia="sv-SE"/>
        </w:rPr>
        <w:t>of the “L” species grew 9% bigger than the “S” species (mean upper bract width 20,1 mm and 18.4 mm respectively, F</w:t>
      </w:r>
      <w:r w:rsidR="00C12BC1">
        <w:rPr>
          <w:vertAlign w:val="subscript"/>
          <w:lang w:eastAsia="sv-SE"/>
        </w:rPr>
        <w:t>1,360</w:t>
      </w:r>
      <w:r w:rsidR="00C12BC1">
        <w:rPr>
          <w:lang w:eastAsia="sv-SE"/>
        </w:rPr>
        <w:t xml:space="preserve"> = 39.11, p &lt; 0.001, fig 2, tab 1). The difference in blossom size between treatments was slightly larger for the “L” species than for the “S” species (24.1% reduction vs 20.5% reduction respectively, </w:t>
      </w:r>
      <w:r w:rsidR="005465DF">
        <w:rPr>
          <w:lang w:eastAsia="sv-SE"/>
        </w:rPr>
        <w:t xml:space="preserve">fig 2, </w:t>
      </w:r>
      <w:r w:rsidR="00C12BC1">
        <w:rPr>
          <w:lang w:eastAsia="sv-SE"/>
        </w:rPr>
        <w:t xml:space="preserve">tab </w:t>
      </w:r>
      <w:r w:rsidR="005465DF">
        <w:rPr>
          <w:lang w:eastAsia="sv-SE"/>
        </w:rPr>
        <w:t>2</w:t>
      </w:r>
      <w:r w:rsidR="00C12BC1">
        <w:rPr>
          <w:lang w:eastAsia="sv-SE"/>
        </w:rPr>
        <w:t>).</w:t>
      </w:r>
    </w:p>
    <w:p w14:paraId="09C3AC35" w14:textId="03BE2481" w:rsidR="00855398" w:rsidRDefault="00C12BC1" w:rsidP="00C12BC1">
      <w:pPr>
        <w:jc w:val="center"/>
      </w:pPr>
      <w:r w:rsidRPr="00855398">
        <w:rPr>
          <w:noProof/>
        </w:rPr>
        <w:drawing>
          <wp:inline distT="0" distB="0" distL="0" distR="0" wp14:anchorId="56D3FC84" wp14:editId="6798314A">
            <wp:extent cx="3268301" cy="2125104"/>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rotWithShape="1">
                    <a:blip r:embed="rId4">
                      <a:extLst>
                        <a:ext uri="{28A0092B-C50C-407E-A947-70E740481C1C}">
                          <a14:useLocalDpi xmlns:a14="http://schemas.microsoft.com/office/drawing/2010/main" val="0"/>
                        </a:ext>
                      </a:extLst>
                    </a:blip>
                    <a:srcRect t="9801" b="8"/>
                    <a:stretch/>
                  </pic:blipFill>
                  <pic:spPr bwMode="auto">
                    <a:xfrm>
                      <a:off x="0" y="0"/>
                      <a:ext cx="3306248" cy="2149778"/>
                    </a:xfrm>
                    <a:prstGeom prst="rect">
                      <a:avLst/>
                    </a:prstGeom>
                    <a:ln>
                      <a:noFill/>
                    </a:ln>
                    <a:extLst>
                      <a:ext uri="{53640926-AAD7-44D8-BBD7-CCE9431645EC}">
                        <a14:shadowObscured xmlns:a14="http://schemas.microsoft.com/office/drawing/2010/main"/>
                      </a:ext>
                    </a:extLst>
                  </pic:spPr>
                </pic:pic>
              </a:graphicData>
            </a:graphic>
          </wp:inline>
        </w:drawing>
      </w:r>
    </w:p>
    <w:p w14:paraId="308B0A0F" w14:textId="136C558E" w:rsidR="00C12BC1" w:rsidRPr="00C12BC1" w:rsidRDefault="00C12BC1" w:rsidP="00855398">
      <w:pPr>
        <w:rPr>
          <w:sz w:val="20"/>
          <w:szCs w:val="20"/>
        </w:rPr>
      </w:pPr>
      <w:r w:rsidRPr="00C12BC1">
        <w:rPr>
          <w:sz w:val="20"/>
          <w:szCs w:val="20"/>
        </w:rPr>
        <w:t>Figure 1: Upper and lower bract width were strongly correlated, R=0.91. Line shows regression line estimated from a linear regression model.</w:t>
      </w:r>
    </w:p>
    <w:p w14:paraId="4C4B6BBE" w14:textId="289D72AA" w:rsidR="00855398" w:rsidRDefault="00855398" w:rsidP="00C12BC1">
      <w:pPr>
        <w:jc w:val="center"/>
      </w:pPr>
      <w:r w:rsidRPr="00855398">
        <w:rPr>
          <w:noProof/>
        </w:rPr>
        <w:lastRenderedPageBreak/>
        <w:drawing>
          <wp:inline distT="0" distB="0" distL="0" distR="0" wp14:anchorId="2D0773CE" wp14:editId="10D11010">
            <wp:extent cx="3693196" cy="2454325"/>
            <wp:effectExtent l="0" t="0" r="254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rotWithShape="1">
                    <a:blip r:embed="rId5">
                      <a:extLst>
                        <a:ext uri="{28A0092B-C50C-407E-A947-70E740481C1C}">
                          <a14:useLocalDpi xmlns:a14="http://schemas.microsoft.com/office/drawing/2010/main" val="0"/>
                        </a:ext>
                      </a:extLst>
                    </a:blip>
                    <a:srcRect t="7820"/>
                    <a:stretch/>
                  </pic:blipFill>
                  <pic:spPr bwMode="auto">
                    <a:xfrm>
                      <a:off x="0" y="0"/>
                      <a:ext cx="3703714" cy="2461315"/>
                    </a:xfrm>
                    <a:prstGeom prst="rect">
                      <a:avLst/>
                    </a:prstGeom>
                    <a:ln>
                      <a:noFill/>
                    </a:ln>
                    <a:extLst>
                      <a:ext uri="{53640926-AAD7-44D8-BBD7-CCE9431645EC}">
                        <a14:shadowObscured xmlns:a14="http://schemas.microsoft.com/office/drawing/2010/main"/>
                      </a:ext>
                    </a:extLst>
                  </pic:spPr>
                </pic:pic>
              </a:graphicData>
            </a:graphic>
          </wp:inline>
        </w:drawing>
      </w:r>
    </w:p>
    <w:p w14:paraId="3B44B249" w14:textId="41302F3D" w:rsidR="00C12BC1" w:rsidRPr="00C12BC1" w:rsidRDefault="00C12BC1" w:rsidP="00C12BC1">
      <w:pPr>
        <w:rPr>
          <w:sz w:val="20"/>
          <w:szCs w:val="20"/>
        </w:rPr>
      </w:pPr>
      <w:r w:rsidRPr="00C12BC1">
        <w:rPr>
          <w:sz w:val="20"/>
          <w:szCs w:val="20"/>
        </w:rPr>
        <w:t xml:space="preserve">Figure 2: Change in upper bract width (mm) from dry or wet treatment on the two </w:t>
      </w:r>
      <w:r w:rsidRPr="00C12BC1">
        <w:rPr>
          <w:i/>
          <w:iCs/>
          <w:sz w:val="20"/>
          <w:szCs w:val="20"/>
        </w:rPr>
        <w:t xml:space="preserve">Dalechampia </w:t>
      </w:r>
      <w:r w:rsidRPr="00C12BC1">
        <w:rPr>
          <w:sz w:val="20"/>
          <w:szCs w:val="20"/>
        </w:rPr>
        <w:t>species “S” and “L”.</w:t>
      </w:r>
    </w:p>
    <w:p w14:paraId="793FECEC" w14:textId="77777777" w:rsidR="00C12BC1" w:rsidRDefault="00C12BC1" w:rsidP="00855398"/>
    <w:p w14:paraId="52BAC048" w14:textId="26D76D70" w:rsidR="00855398" w:rsidRPr="00C12BC1" w:rsidRDefault="00C12BC1" w:rsidP="00855398">
      <w:pPr>
        <w:rPr>
          <w:sz w:val="20"/>
          <w:szCs w:val="20"/>
        </w:rPr>
      </w:pPr>
      <w:r w:rsidRPr="00C12BC1">
        <w:rPr>
          <w:sz w:val="20"/>
          <w:szCs w:val="20"/>
        </w:rPr>
        <w:t xml:space="preserve">Table 1: Mean upper bract width (mm) </w:t>
      </w:r>
      <m:oMath>
        <m:r>
          <w:rPr>
            <w:rFonts w:ascii="Cambria Math" w:hAnsi="Cambria Math"/>
            <w:sz w:val="20"/>
            <w:szCs w:val="20"/>
          </w:rPr>
          <m:t>±</m:t>
        </m:r>
      </m:oMath>
      <w:r w:rsidRPr="00C12BC1">
        <w:rPr>
          <w:rFonts w:eastAsiaTheme="minorEastAsia"/>
          <w:sz w:val="20"/>
          <w:szCs w:val="20"/>
        </w:rPr>
        <w:t xml:space="preserve"> standard error and test value (F) with significance level </w:t>
      </w:r>
      <w:r>
        <w:rPr>
          <w:rFonts w:eastAsiaTheme="minorEastAsia"/>
          <w:sz w:val="20"/>
          <w:szCs w:val="20"/>
        </w:rPr>
        <w:t xml:space="preserve">(p) </w:t>
      </w:r>
      <w:r w:rsidRPr="00C12BC1">
        <w:rPr>
          <w:rFonts w:eastAsiaTheme="minorEastAsia"/>
          <w:sz w:val="20"/>
          <w:szCs w:val="20"/>
        </w:rPr>
        <w:t>from Two-way ANOVA comparing upper bract width between treatment and species and their interaction.</w:t>
      </w:r>
    </w:p>
    <w:tbl>
      <w:tblPr>
        <w:tblStyle w:val="Oformateradtabell2"/>
        <w:tblW w:w="0" w:type="auto"/>
        <w:tblLook w:val="0620" w:firstRow="1" w:lastRow="0" w:firstColumn="0" w:lastColumn="0" w:noHBand="1" w:noVBand="1"/>
      </w:tblPr>
      <w:tblGrid>
        <w:gridCol w:w="1811"/>
        <w:gridCol w:w="1811"/>
        <w:gridCol w:w="2043"/>
        <w:gridCol w:w="1579"/>
        <w:gridCol w:w="1812"/>
      </w:tblGrid>
      <w:tr w:rsidR="00C12BC1" w14:paraId="04132DD7" w14:textId="77777777" w:rsidTr="00C12BC1">
        <w:trPr>
          <w:cnfStyle w:val="100000000000" w:firstRow="1" w:lastRow="0" w:firstColumn="0" w:lastColumn="0" w:oddVBand="0" w:evenVBand="0" w:oddHBand="0" w:evenHBand="0" w:firstRowFirstColumn="0" w:firstRowLastColumn="0" w:lastRowFirstColumn="0" w:lastRowLastColumn="0"/>
        </w:trPr>
        <w:tc>
          <w:tcPr>
            <w:tcW w:w="1811" w:type="dxa"/>
          </w:tcPr>
          <w:p w14:paraId="43100DE6" w14:textId="77777777" w:rsidR="00C12BC1" w:rsidRDefault="00C12BC1" w:rsidP="00855398"/>
        </w:tc>
        <w:tc>
          <w:tcPr>
            <w:tcW w:w="1811" w:type="dxa"/>
          </w:tcPr>
          <w:p w14:paraId="59F217BB" w14:textId="5A28A083" w:rsidR="00C12BC1" w:rsidRDefault="00C12BC1" w:rsidP="00C12BC1">
            <w:pPr>
              <w:jc w:val="center"/>
            </w:pPr>
            <w:r>
              <w:t xml:space="preserve">Mean </w:t>
            </w:r>
            <m:oMath>
              <m:r>
                <m:rPr>
                  <m:sty m:val="bi"/>
                </m:rPr>
                <w:rPr>
                  <w:rFonts w:ascii="Cambria Math" w:hAnsi="Cambria Math"/>
                </w:rPr>
                <m:t>±</m:t>
              </m:r>
            </m:oMath>
            <w:r>
              <w:rPr>
                <w:rFonts w:eastAsiaTheme="minorEastAsia"/>
              </w:rPr>
              <w:t xml:space="preserve"> SE</w:t>
            </w:r>
          </w:p>
        </w:tc>
        <w:tc>
          <w:tcPr>
            <w:tcW w:w="2043" w:type="dxa"/>
          </w:tcPr>
          <w:p w14:paraId="74EBA700" w14:textId="77777777" w:rsidR="00C12BC1" w:rsidRDefault="00C12BC1" w:rsidP="00855398"/>
        </w:tc>
        <w:tc>
          <w:tcPr>
            <w:tcW w:w="1579" w:type="dxa"/>
          </w:tcPr>
          <w:p w14:paraId="0DDBE7B7" w14:textId="6279C79C" w:rsidR="00C12BC1" w:rsidRDefault="00C12BC1" w:rsidP="00C12BC1">
            <w:pPr>
              <w:jc w:val="center"/>
            </w:pPr>
            <w:r>
              <w:t>F</w:t>
            </w:r>
          </w:p>
        </w:tc>
        <w:tc>
          <w:tcPr>
            <w:tcW w:w="1812" w:type="dxa"/>
          </w:tcPr>
          <w:p w14:paraId="48551BAA" w14:textId="59984C98" w:rsidR="00C12BC1" w:rsidRDefault="00C12BC1" w:rsidP="00C12BC1">
            <w:pPr>
              <w:jc w:val="center"/>
            </w:pPr>
            <w:r>
              <w:t>p</w:t>
            </w:r>
          </w:p>
        </w:tc>
      </w:tr>
      <w:tr w:rsidR="00C12BC1" w14:paraId="24C5604E" w14:textId="77777777" w:rsidTr="00C12BC1">
        <w:tc>
          <w:tcPr>
            <w:tcW w:w="1811" w:type="dxa"/>
          </w:tcPr>
          <w:p w14:paraId="6ED245DA" w14:textId="6786A6FE" w:rsidR="00C12BC1" w:rsidRDefault="00C12BC1" w:rsidP="00855398">
            <w:r>
              <w:t xml:space="preserve">Dry </w:t>
            </w:r>
          </w:p>
        </w:tc>
        <w:tc>
          <w:tcPr>
            <w:tcW w:w="1811" w:type="dxa"/>
          </w:tcPr>
          <w:p w14:paraId="13CEB79B" w14:textId="68F310C0" w:rsidR="00C12BC1" w:rsidRPr="005465DF" w:rsidRDefault="00C12BC1" w:rsidP="00C12BC1">
            <w:pPr>
              <w:jc w:val="center"/>
            </w:pPr>
            <w:r w:rsidRPr="005465DF">
              <w:t xml:space="preserve">16.8  </w:t>
            </w:r>
            <m:oMath>
              <m:r>
                <w:rPr>
                  <w:rFonts w:ascii="Cambria Math" w:hAnsi="Cambria Math"/>
                </w:rPr>
                <m:t>±</m:t>
              </m:r>
            </m:oMath>
            <w:r w:rsidRPr="005465DF">
              <w:rPr>
                <w:rFonts w:eastAsiaTheme="minorEastAsia"/>
              </w:rPr>
              <w:t xml:space="preserve"> 0.30</w:t>
            </w:r>
          </w:p>
        </w:tc>
        <w:tc>
          <w:tcPr>
            <w:tcW w:w="2043" w:type="dxa"/>
          </w:tcPr>
          <w:p w14:paraId="3D01FCEE" w14:textId="4E974739" w:rsidR="00C12BC1" w:rsidRDefault="00C12BC1" w:rsidP="00855398">
            <w:r>
              <w:t>Treatment</w:t>
            </w:r>
          </w:p>
        </w:tc>
        <w:tc>
          <w:tcPr>
            <w:tcW w:w="1579" w:type="dxa"/>
          </w:tcPr>
          <w:p w14:paraId="00C02DD5" w14:textId="5E0AE229" w:rsidR="00C12BC1" w:rsidRDefault="00C12BC1" w:rsidP="00C12BC1">
            <w:pPr>
              <w:jc w:val="center"/>
            </w:pPr>
            <w:r>
              <w:t>9128.14</w:t>
            </w:r>
          </w:p>
        </w:tc>
        <w:tc>
          <w:tcPr>
            <w:tcW w:w="1812" w:type="dxa"/>
          </w:tcPr>
          <w:p w14:paraId="67AAF6A7" w14:textId="491AD73D" w:rsidR="00C12BC1" w:rsidRDefault="00C12BC1" w:rsidP="00C12BC1">
            <w:pPr>
              <w:jc w:val="center"/>
            </w:pPr>
            <w:r>
              <w:t>&lt;0.001</w:t>
            </w:r>
          </w:p>
        </w:tc>
      </w:tr>
      <w:tr w:rsidR="00C12BC1" w14:paraId="32192529" w14:textId="77777777" w:rsidTr="00C12BC1">
        <w:tc>
          <w:tcPr>
            <w:tcW w:w="1811" w:type="dxa"/>
          </w:tcPr>
          <w:p w14:paraId="430C4409" w14:textId="1941973E" w:rsidR="00C12BC1" w:rsidRDefault="00C12BC1" w:rsidP="00855398">
            <w:r>
              <w:t xml:space="preserve">Wet </w:t>
            </w:r>
          </w:p>
        </w:tc>
        <w:tc>
          <w:tcPr>
            <w:tcW w:w="1811" w:type="dxa"/>
          </w:tcPr>
          <w:p w14:paraId="489AF3D9" w14:textId="7169BB2E" w:rsidR="00C12BC1" w:rsidRPr="005465DF" w:rsidRDefault="00C12BC1" w:rsidP="00C12BC1">
            <w:pPr>
              <w:jc w:val="center"/>
            </w:pPr>
            <w:r w:rsidRPr="005465DF">
              <w:t xml:space="preserve">21.7  </w:t>
            </w:r>
            <m:oMath>
              <m:r>
                <w:rPr>
                  <w:rFonts w:ascii="Cambria Math" w:hAnsi="Cambria Math"/>
                </w:rPr>
                <m:t>±</m:t>
              </m:r>
            </m:oMath>
            <w:r w:rsidRPr="005465DF">
              <w:rPr>
                <w:rFonts w:eastAsiaTheme="minorEastAsia"/>
              </w:rPr>
              <w:t xml:space="preserve"> 0.27</w:t>
            </w:r>
          </w:p>
        </w:tc>
        <w:tc>
          <w:tcPr>
            <w:tcW w:w="2043" w:type="dxa"/>
          </w:tcPr>
          <w:p w14:paraId="12527B7B" w14:textId="7FF5F407" w:rsidR="00C12BC1" w:rsidRDefault="00C12BC1" w:rsidP="00855398">
            <w:r>
              <w:t>Species</w:t>
            </w:r>
          </w:p>
        </w:tc>
        <w:tc>
          <w:tcPr>
            <w:tcW w:w="1579" w:type="dxa"/>
          </w:tcPr>
          <w:p w14:paraId="68B9FF45" w14:textId="381FA3DE" w:rsidR="00C12BC1" w:rsidRDefault="00C12BC1" w:rsidP="00C12BC1">
            <w:pPr>
              <w:jc w:val="center"/>
            </w:pPr>
            <w:r>
              <w:t>39.11</w:t>
            </w:r>
          </w:p>
        </w:tc>
        <w:tc>
          <w:tcPr>
            <w:tcW w:w="1812" w:type="dxa"/>
          </w:tcPr>
          <w:p w14:paraId="4282E1B1" w14:textId="46FE6011" w:rsidR="00C12BC1" w:rsidRDefault="00C12BC1" w:rsidP="00C12BC1">
            <w:pPr>
              <w:jc w:val="center"/>
            </w:pPr>
            <w:r>
              <w:t>&lt;0.001</w:t>
            </w:r>
          </w:p>
        </w:tc>
      </w:tr>
      <w:tr w:rsidR="00C12BC1" w14:paraId="3D54715D" w14:textId="77777777" w:rsidTr="00C12BC1">
        <w:tc>
          <w:tcPr>
            <w:tcW w:w="1811" w:type="dxa"/>
          </w:tcPr>
          <w:p w14:paraId="09B351EA" w14:textId="026350E3" w:rsidR="00C12BC1" w:rsidRDefault="00C12BC1" w:rsidP="00855398">
            <w:r>
              <w:t>“L”</w:t>
            </w:r>
          </w:p>
        </w:tc>
        <w:tc>
          <w:tcPr>
            <w:tcW w:w="1811" w:type="dxa"/>
          </w:tcPr>
          <w:p w14:paraId="3F5A4471" w14:textId="01D971DA" w:rsidR="00C12BC1" w:rsidRPr="005465DF" w:rsidRDefault="00C12BC1" w:rsidP="00C12BC1">
            <w:pPr>
              <w:jc w:val="center"/>
            </w:pPr>
            <w:r w:rsidRPr="005465DF">
              <w:t xml:space="preserve">20.1  </w:t>
            </w:r>
            <m:oMath>
              <m:r>
                <w:rPr>
                  <w:rFonts w:ascii="Cambria Math" w:hAnsi="Cambria Math"/>
                </w:rPr>
                <m:t>±</m:t>
              </m:r>
            </m:oMath>
            <w:r w:rsidRPr="005465DF">
              <w:rPr>
                <w:rFonts w:eastAsiaTheme="minorEastAsia"/>
              </w:rPr>
              <w:t xml:space="preserve"> 0.29</w:t>
            </w:r>
          </w:p>
        </w:tc>
        <w:tc>
          <w:tcPr>
            <w:tcW w:w="2043" w:type="dxa"/>
          </w:tcPr>
          <w:p w14:paraId="2438DE74" w14:textId="7C1FC15E" w:rsidR="00C12BC1" w:rsidRDefault="003D1D47" w:rsidP="00855398">
            <w:r>
              <w:t>Interaction</w:t>
            </w:r>
          </w:p>
        </w:tc>
        <w:tc>
          <w:tcPr>
            <w:tcW w:w="1579" w:type="dxa"/>
          </w:tcPr>
          <w:p w14:paraId="7D489991" w14:textId="4D74E751" w:rsidR="00C12BC1" w:rsidRDefault="00C12BC1" w:rsidP="00C12BC1">
            <w:pPr>
              <w:jc w:val="center"/>
            </w:pPr>
            <w:r>
              <w:t>5.30</w:t>
            </w:r>
          </w:p>
        </w:tc>
        <w:tc>
          <w:tcPr>
            <w:tcW w:w="1812" w:type="dxa"/>
          </w:tcPr>
          <w:p w14:paraId="65385652" w14:textId="03B88E5B" w:rsidR="00C12BC1" w:rsidRDefault="00C12BC1" w:rsidP="00C12BC1">
            <w:pPr>
              <w:jc w:val="center"/>
            </w:pPr>
            <w:r>
              <w:t>0.022</w:t>
            </w:r>
          </w:p>
        </w:tc>
      </w:tr>
      <w:tr w:rsidR="00C12BC1" w14:paraId="375A519C" w14:textId="77777777" w:rsidTr="00C12BC1">
        <w:tc>
          <w:tcPr>
            <w:tcW w:w="1811" w:type="dxa"/>
          </w:tcPr>
          <w:p w14:paraId="6B8DD400" w14:textId="39EB0C76" w:rsidR="00C12BC1" w:rsidRDefault="00C12BC1" w:rsidP="00855398">
            <w:r>
              <w:t>“S”</w:t>
            </w:r>
          </w:p>
        </w:tc>
        <w:tc>
          <w:tcPr>
            <w:tcW w:w="1811" w:type="dxa"/>
          </w:tcPr>
          <w:p w14:paraId="3B0AEE53" w14:textId="7EB18893" w:rsidR="00C12BC1" w:rsidRPr="005465DF" w:rsidRDefault="00C12BC1" w:rsidP="00C12BC1">
            <w:pPr>
              <w:jc w:val="center"/>
            </w:pPr>
            <w:r w:rsidRPr="005465DF">
              <w:t xml:space="preserve">18.4  </w:t>
            </w:r>
            <m:oMath>
              <m:r>
                <w:rPr>
                  <w:rFonts w:ascii="Cambria Math" w:hAnsi="Cambria Math"/>
                </w:rPr>
                <m:t>±</m:t>
              </m:r>
            </m:oMath>
            <w:r w:rsidRPr="005465DF">
              <w:rPr>
                <w:rFonts w:eastAsiaTheme="minorEastAsia"/>
              </w:rPr>
              <w:t xml:space="preserve"> 0.28</w:t>
            </w:r>
          </w:p>
        </w:tc>
        <w:tc>
          <w:tcPr>
            <w:tcW w:w="2043" w:type="dxa"/>
          </w:tcPr>
          <w:p w14:paraId="7BA54F18" w14:textId="77777777" w:rsidR="00C12BC1" w:rsidRDefault="00C12BC1" w:rsidP="00855398"/>
        </w:tc>
        <w:tc>
          <w:tcPr>
            <w:tcW w:w="1579" w:type="dxa"/>
          </w:tcPr>
          <w:p w14:paraId="32135580" w14:textId="34BAC1B0" w:rsidR="00C12BC1" w:rsidRDefault="00C12BC1" w:rsidP="00C12BC1">
            <w:pPr>
              <w:jc w:val="center"/>
            </w:pPr>
          </w:p>
        </w:tc>
        <w:tc>
          <w:tcPr>
            <w:tcW w:w="1812" w:type="dxa"/>
          </w:tcPr>
          <w:p w14:paraId="2AC3DF4D" w14:textId="77777777" w:rsidR="00C12BC1" w:rsidRDefault="00C12BC1" w:rsidP="00C12BC1">
            <w:pPr>
              <w:jc w:val="center"/>
            </w:pPr>
          </w:p>
        </w:tc>
      </w:tr>
    </w:tbl>
    <w:p w14:paraId="264DEFA3" w14:textId="10A9BDA0" w:rsidR="00C12BC1" w:rsidRDefault="00C12BC1" w:rsidP="00855398"/>
    <w:p w14:paraId="5ADC58D9" w14:textId="0D817AA4" w:rsidR="005465DF" w:rsidRPr="005465DF" w:rsidRDefault="005465DF" w:rsidP="00855398">
      <w:pPr>
        <w:rPr>
          <w:sz w:val="20"/>
          <w:szCs w:val="20"/>
        </w:rPr>
      </w:pPr>
      <w:r>
        <w:rPr>
          <w:sz w:val="20"/>
          <w:szCs w:val="20"/>
        </w:rPr>
        <w:t xml:space="preserve">Table 2: Mean upper bract width (mm) </w:t>
      </w:r>
      <m:oMath>
        <m:r>
          <w:rPr>
            <w:rFonts w:ascii="Cambria Math" w:hAnsi="Cambria Math"/>
            <w:sz w:val="20"/>
            <w:szCs w:val="20"/>
          </w:rPr>
          <m:t>±</m:t>
        </m:r>
      </m:oMath>
      <w:r w:rsidRPr="00C12BC1">
        <w:rPr>
          <w:rFonts w:eastAsiaTheme="minorEastAsia"/>
          <w:sz w:val="20"/>
          <w:szCs w:val="20"/>
        </w:rPr>
        <w:t xml:space="preserve"> standard error</w:t>
      </w:r>
      <w:r>
        <w:rPr>
          <w:rFonts w:eastAsiaTheme="minorEastAsia"/>
          <w:sz w:val="20"/>
          <w:szCs w:val="20"/>
        </w:rPr>
        <w:t xml:space="preserve"> for each treatment and species.</w:t>
      </w:r>
    </w:p>
    <w:tbl>
      <w:tblPr>
        <w:tblStyle w:val="Oformateradtabell2"/>
        <w:tblW w:w="4681" w:type="dxa"/>
        <w:tblLook w:val="0620" w:firstRow="1" w:lastRow="0" w:firstColumn="0" w:lastColumn="0" w:noHBand="1" w:noVBand="1"/>
      </w:tblPr>
      <w:tblGrid>
        <w:gridCol w:w="878"/>
        <w:gridCol w:w="2239"/>
        <w:gridCol w:w="1564"/>
      </w:tblGrid>
      <w:tr w:rsidR="005465DF" w14:paraId="3C02A2B1" w14:textId="2B622D21" w:rsidTr="005465DF">
        <w:trPr>
          <w:cnfStyle w:val="100000000000" w:firstRow="1" w:lastRow="0" w:firstColumn="0" w:lastColumn="0" w:oddVBand="0" w:evenVBand="0" w:oddHBand="0" w:evenHBand="0" w:firstRowFirstColumn="0" w:firstRowLastColumn="0" w:lastRowFirstColumn="0" w:lastRowLastColumn="0"/>
          <w:trHeight w:val="194"/>
        </w:trPr>
        <w:tc>
          <w:tcPr>
            <w:tcW w:w="878" w:type="dxa"/>
            <w:tcBorders>
              <w:top w:val="single" w:sz="4" w:space="0" w:color="7F7F7F" w:themeColor="text1" w:themeTint="80"/>
              <w:bottom w:val="nil"/>
            </w:tcBorders>
          </w:tcPr>
          <w:p w14:paraId="63EAA682" w14:textId="77777777" w:rsidR="005465DF" w:rsidRDefault="005465DF" w:rsidP="005465DF"/>
        </w:tc>
        <w:tc>
          <w:tcPr>
            <w:tcW w:w="3803" w:type="dxa"/>
            <w:gridSpan w:val="2"/>
          </w:tcPr>
          <w:p w14:paraId="706A0D99" w14:textId="13C8548F" w:rsidR="005465DF" w:rsidRDefault="005465DF" w:rsidP="005465DF">
            <w:pPr>
              <w:jc w:val="center"/>
            </w:pPr>
            <w:r>
              <w:t xml:space="preserve">Mean </w:t>
            </w:r>
            <m:oMath>
              <m:r>
                <m:rPr>
                  <m:sty m:val="bi"/>
                </m:rPr>
                <w:rPr>
                  <w:rFonts w:ascii="Cambria Math" w:hAnsi="Cambria Math"/>
                  <w:color w:val="000000" w:themeColor="text1"/>
                </w:rPr>
                <m:t>±</m:t>
              </m:r>
            </m:oMath>
            <w:r>
              <w:rPr>
                <w:rFonts w:eastAsiaTheme="minorEastAsia"/>
                <w:color w:val="000000" w:themeColor="text1"/>
              </w:rPr>
              <w:t xml:space="preserve"> SE</w:t>
            </w:r>
          </w:p>
        </w:tc>
      </w:tr>
      <w:tr w:rsidR="005465DF" w14:paraId="5AB1E46B" w14:textId="77777777" w:rsidTr="005465DF">
        <w:trPr>
          <w:trHeight w:val="284"/>
        </w:trPr>
        <w:tc>
          <w:tcPr>
            <w:tcW w:w="878" w:type="dxa"/>
            <w:tcBorders>
              <w:top w:val="nil"/>
              <w:bottom w:val="single" w:sz="4" w:space="0" w:color="auto"/>
            </w:tcBorders>
          </w:tcPr>
          <w:p w14:paraId="0BCA869C" w14:textId="77777777" w:rsidR="005465DF" w:rsidRDefault="005465DF" w:rsidP="005465DF"/>
        </w:tc>
        <w:tc>
          <w:tcPr>
            <w:tcW w:w="2239" w:type="dxa"/>
            <w:tcBorders>
              <w:top w:val="nil"/>
              <w:bottom w:val="single" w:sz="4" w:space="0" w:color="auto"/>
            </w:tcBorders>
          </w:tcPr>
          <w:p w14:paraId="739AB76E" w14:textId="00AB0720" w:rsidR="005465DF" w:rsidRPr="005465DF" w:rsidRDefault="005465DF" w:rsidP="005465DF">
            <w:pPr>
              <w:jc w:val="center"/>
              <w:rPr>
                <w:b/>
                <w:bCs/>
              </w:rPr>
            </w:pPr>
            <w:r w:rsidRPr="005465DF">
              <w:rPr>
                <w:b/>
                <w:bCs/>
              </w:rPr>
              <w:t>Dry</w:t>
            </w:r>
          </w:p>
        </w:tc>
        <w:tc>
          <w:tcPr>
            <w:tcW w:w="1559" w:type="dxa"/>
            <w:tcBorders>
              <w:top w:val="nil"/>
              <w:bottom w:val="single" w:sz="4" w:space="0" w:color="auto"/>
            </w:tcBorders>
          </w:tcPr>
          <w:p w14:paraId="117BEFF9" w14:textId="517B6D23" w:rsidR="005465DF" w:rsidRPr="005465DF" w:rsidRDefault="005465DF" w:rsidP="005465DF">
            <w:pPr>
              <w:jc w:val="center"/>
              <w:rPr>
                <w:b/>
                <w:bCs/>
              </w:rPr>
            </w:pPr>
            <w:r w:rsidRPr="005465DF">
              <w:rPr>
                <w:b/>
                <w:bCs/>
              </w:rPr>
              <w:t>Wet</w:t>
            </w:r>
          </w:p>
        </w:tc>
      </w:tr>
      <w:tr w:rsidR="005465DF" w14:paraId="1F793F1C" w14:textId="77777777" w:rsidTr="005465DF">
        <w:trPr>
          <w:trHeight w:val="299"/>
        </w:trPr>
        <w:tc>
          <w:tcPr>
            <w:tcW w:w="878" w:type="dxa"/>
            <w:tcBorders>
              <w:top w:val="single" w:sz="4" w:space="0" w:color="auto"/>
            </w:tcBorders>
          </w:tcPr>
          <w:p w14:paraId="7594C937" w14:textId="2257782B" w:rsidR="005465DF" w:rsidRDefault="005465DF" w:rsidP="005465DF">
            <w:r>
              <w:t>“L”</w:t>
            </w:r>
          </w:p>
        </w:tc>
        <w:tc>
          <w:tcPr>
            <w:tcW w:w="2239" w:type="dxa"/>
            <w:tcBorders>
              <w:top w:val="single" w:sz="4" w:space="0" w:color="auto"/>
            </w:tcBorders>
          </w:tcPr>
          <w:p w14:paraId="67F835D8" w14:textId="491454CC" w:rsidR="005465DF" w:rsidRDefault="005465DF" w:rsidP="005465DF">
            <w:pPr>
              <w:jc w:val="center"/>
            </w:pPr>
            <w:r>
              <w:t xml:space="preserve">17.39 </w:t>
            </w:r>
            <m:oMath>
              <m:r>
                <w:rPr>
                  <w:rFonts w:ascii="Cambria Math" w:hAnsi="Cambria Math"/>
                  <w:color w:val="000000" w:themeColor="text1"/>
                </w:rPr>
                <m:t>±</m:t>
              </m:r>
            </m:oMath>
            <w:r>
              <w:rPr>
                <w:rFonts w:eastAsiaTheme="minorEastAsia"/>
                <w:color w:val="000000" w:themeColor="text1"/>
              </w:rPr>
              <w:t xml:space="preserve"> 0.28</w:t>
            </w:r>
          </w:p>
        </w:tc>
        <w:tc>
          <w:tcPr>
            <w:tcW w:w="1559" w:type="dxa"/>
            <w:tcBorders>
              <w:top w:val="single" w:sz="4" w:space="0" w:color="auto"/>
            </w:tcBorders>
          </w:tcPr>
          <w:p w14:paraId="38368AD7" w14:textId="5CC73E9F" w:rsidR="005465DF" w:rsidRDefault="005465DF" w:rsidP="005465DF">
            <w:pPr>
              <w:jc w:val="center"/>
            </w:pPr>
            <w:r>
              <w:t xml:space="preserve">22.91 </w:t>
            </w:r>
            <m:oMath>
              <m:r>
                <w:rPr>
                  <w:rFonts w:ascii="Cambria Math" w:hAnsi="Cambria Math"/>
                  <w:color w:val="000000" w:themeColor="text1"/>
                </w:rPr>
                <m:t>±</m:t>
              </m:r>
            </m:oMath>
            <w:r>
              <w:rPr>
                <w:rFonts w:eastAsiaTheme="minorEastAsia"/>
                <w:color w:val="000000" w:themeColor="text1"/>
              </w:rPr>
              <w:t xml:space="preserve"> 0.30</w:t>
            </w:r>
          </w:p>
        </w:tc>
      </w:tr>
      <w:tr w:rsidR="005465DF" w14:paraId="190B6F40" w14:textId="77777777" w:rsidTr="005465DF">
        <w:trPr>
          <w:trHeight w:val="284"/>
        </w:trPr>
        <w:tc>
          <w:tcPr>
            <w:tcW w:w="878" w:type="dxa"/>
          </w:tcPr>
          <w:p w14:paraId="0976E952" w14:textId="1B2A6CFD" w:rsidR="005465DF" w:rsidRDefault="005465DF" w:rsidP="005465DF">
            <w:r>
              <w:t>“S”</w:t>
            </w:r>
          </w:p>
        </w:tc>
        <w:tc>
          <w:tcPr>
            <w:tcW w:w="2239" w:type="dxa"/>
          </w:tcPr>
          <w:p w14:paraId="31E1A197" w14:textId="648C75E0" w:rsidR="005465DF" w:rsidRDefault="005465DF" w:rsidP="005465DF">
            <w:pPr>
              <w:jc w:val="center"/>
            </w:pPr>
            <w:r>
              <w:t xml:space="preserve">16.26 </w:t>
            </w:r>
            <m:oMath>
              <m:r>
                <w:rPr>
                  <w:rFonts w:ascii="Cambria Math" w:hAnsi="Cambria Math"/>
                  <w:color w:val="000000" w:themeColor="text1"/>
                </w:rPr>
                <m:t>±</m:t>
              </m:r>
            </m:oMath>
            <w:r>
              <w:rPr>
                <w:rFonts w:eastAsiaTheme="minorEastAsia"/>
                <w:color w:val="000000" w:themeColor="text1"/>
              </w:rPr>
              <w:t xml:space="preserve"> 0.32</w:t>
            </w:r>
          </w:p>
        </w:tc>
        <w:tc>
          <w:tcPr>
            <w:tcW w:w="1559" w:type="dxa"/>
          </w:tcPr>
          <w:p w14:paraId="3800FD8A" w14:textId="008AE074" w:rsidR="005465DF" w:rsidRDefault="005465DF" w:rsidP="005465DF">
            <w:pPr>
              <w:jc w:val="center"/>
            </w:pPr>
            <w:r>
              <w:t xml:space="preserve">20.44 </w:t>
            </w:r>
            <m:oMath>
              <m:r>
                <w:rPr>
                  <w:rFonts w:ascii="Cambria Math" w:hAnsi="Cambria Math"/>
                  <w:color w:val="000000" w:themeColor="text1"/>
                </w:rPr>
                <m:t>±</m:t>
              </m:r>
            </m:oMath>
            <w:r>
              <w:rPr>
                <w:rFonts w:eastAsiaTheme="minorEastAsia"/>
                <w:color w:val="000000" w:themeColor="text1"/>
              </w:rPr>
              <w:t xml:space="preserve"> 0.24</w:t>
            </w:r>
          </w:p>
        </w:tc>
      </w:tr>
    </w:tbl>
    <w:p w14:paraId="5830402E" w14:textId="77777777" w:rsidR="005465DF" w:rsidRDefault="005465DF" w:rsidP="00855398"/>
    <w:p w14:paraId="17F5049B" w14:textId="1062A961" w:rsidR="00C12BC1" w:rsidRDefault="00C12BC1" w:rsidP="00C12BC1">
      <w:pPr>
        <w:pStyle w:val="Rubrik1"/>
      </w:pPr>
      <w:r>
        <w:t>Discussion and Conclusion</w:t>
      </w:r>
    </w:p>
    <w:p w14:paraId="3408AA1B" w14:textId="4B72ACAB" w:rsidR="00C12BC1" w:rsidRDefault="00C12BC1" w:rsidP="00C12BC1"/>
    <w:p w14:paraId="1F2908DF" w14:textId="6A1EBE97" w:rsidR="00C12BC1" w:rsidRPr="00C12BC1" w:rsidRDefault="00C12BC1" w:rsidP="00C12BC1">
      <w:r>
        <w:t xml:space="preserve">When </w:t>
      </w:r>
      <w:r>
        <w:rPr>
          <w:i/>
          <w:iCs/>
        </w:rPr>
        <w:t xml:space="preserve">Dalechampia </w:t>
      </w:r>
      <w:r>
        <w:t>were subjected to dry treatment the blossom size decreased dramatically for both species. There was also a slight difference in blossom size between the two species “S” and “L” regardless of treatment, where “L” was bigger than “S”. The interaction of both treatment and species affected blossom size where “S” species in the dry treatment were smallest but the dry treatment caused a larger decrease in blossom size for the “L” species. This suggests that the “L” species is more sensitive to drought than the “S” species.</w:t>
      </w:r>
    </w:p>
    <w:p w14:paraId="1CC8DC17" w14:textId="0F5D3F41" w:rsidR="005B19DD" w:rsidRDefault="005B19DD" w:rsidP="005B19DD">
      <w:pPr>
        <w:pStyle w:val="Rubrik1"/>
      </w:pPr>
      <w:r>
        <w:t>References</w:t>
      </w:r>
    </w:p>
    <w:p w14:paraId="07505D02" w14:textId="310CD8A4" w:rsidR="005B19DD" w:rsidRDefault="005B19DD" w:rsidP="005B19DD"/>
    <w:p w14:paraId="54DFC6EC" w14:textId="40565B00" w:rsidR="005B19DD" w:rsidRDefault="005B19DD" w:rsidP="005B19DD">
      <w:r w:rsidRPr="005B19DD">
        <w:t>Armbruster, W. S. (1985). Patterns of character divergence and the evolution of</w:t>
      </w:r>
      <w:r>
        <w:t xml:space="preserve"> </w:t>
      </w:r>
      <w:r w:rsidRPr="005B19DD">
        <w:t xml:space="preserve">reproductive ecotypes of </w:t>
      </w:r>
      <w:r w:rsidRPr="005B19DD">
        <w:rPr>
          <w:i/>
          <w:iCs/>
        </w:rPr>
        <w:t xml:space="preserve">Dalechampia scandens </w:t>
      </w:r>
      <w:r w:rsidRPr="005B19DD">
        <w:t>(</w:t>
      </w:r>
      <w:proofErr w:type="spellStart"/>
      <w:r w:rsidRPr="005B19DD">
        <w:t>Euphorbiaceae</w:t>
      </w:r>
      <w:proofErr w:type="spellEnd"/>
      <w:r w:rsidRPr="005B19DD">
        <w:t xml:space="preserve">). </w:t>
      </w:r>
      <w:r w:rsidRPr="005B19DD">
        <w:rPr>
          <w:i/>
          <w:iCs/>
        </w:rPr>
        <w:t>Evolution,</w:t>
      </w:r>
      <w:r w:rsidRPr="005B19DD">
        <w:t xml:space="preserve"> 39, 733–752.</w:t>
      </w:r>
    </w:p>
    <w:p w14:paraId="4BEDE7DD" w14:textId="00E4F376" w:rsidR="00C12BC1" w:rsidRDefault="00C12BC1" w:rsidP="005B19DD"/>
    <w:p w14:paraId="46310552" w14:textId="77777777" w:rsidR="00310DCC" w:rsidRDefault="00310DCC">
      <w:pPr>
        <w:rPr>
          <w:rFonts w:eastAsiaTheme="majorEastAsia" w:cstheme="majorBidi"/>
          <w:color w:val="000000" w:themeColor="text1"/>
          <w:sz w:val="36"/>
          <w:szCs w:val="32"/>
        </w:rPr>
      </w:pPr>
      <w:r>
        <w:br w:type="page"/>
      </w:r>
    </w:p>
    <w:p w14:paraId="38784136" w14:textId="052763FF" w:rsidR="00310DCC" w:rsidRPr="00310DCC" w:rsidRDefault="00310DCC" w:rsidP="00310DCC">
      <w:pPr>
        <w:pStyle w:val="Rubrik"/>
        <w:rPr>
          <w:sz w:val="48"/>
          <w:szCs w:val="48"/>
        </w:rPr>
      </w:pPr>
      <w:r w:rsidRPr="00310DCC">
        <w:rPr>
          <w:sz w:val="48"/>
          <w:szCs w:val="48"/>
        </w:rPr>
        <w:lastRenderedPageBreak/>
        <w:t>Part 2: Differences in mass between female and male mountain goats</w:t>
      </w:r>
    </w:p>
    <w:p w14:paraId="07027636" w14:textId="77777777" w:rsidR="00310DCC" w:rsidRPr="00310DCC" w:rsidRDefault="00310DCC" w:rsidP="00310DCC">
      <w:pPr>
        <w:jc w:val="center"/>
      </w:pPr>
      <w:r>
        <w:t>By: Eila Forsman, BIOS14, January 2023.</w:t>
      </w:r>
    </w:p>
    <w:p w14:paraId="19CFCEF7" w14:textId="7FA7BE01" w:rsidR="00C12BC1" w:rsidRDefault="00C12BC1" w:rsidP="00310DCC">
      <w:pPr>
        <w:pStyle w:val="Rubrik1"/>
      </w:pPr>
      <w:r>
        <w:t>Introduction</w:t>
      </w:r>
    </w:p>
    <w:p w14:paraId="6131272B" w14:textId="77777777" w:rsidR="00310DCC" w:rsidRPr="00310DCC" w:rsidRDefault="00310DCC" w:rsidP="00310DCC"/>
    <w:p w14:paraId="41B4B796" w14:textId="6142EFC5" w:rsidR="00C12BC1" w:rsidRDefault="00C12BC1" w:rsidP="00C12BC1">
      <w:r>
        <w:t xml:space="preserve">The following data analyses the mass of mountain goats and possible differences in mass between male and female goats. Male individuals </w:t>
      </w:r>
      <w:r w:rsidR="00310DCC">
        <w:t xml:space="preserve">in the animal kingdom </w:t>
      </w:r>
      <w:r>
        <w:t>are generally heavier than females, therefore I hypothesize that the male mountain goats will be heavier.</w:t>
      </w:r>
    </w:p>
    <w:p w14:paraId="621FE6C9" w14:textId="35B891BC" w:rsidR="00C12BC1" w:rsidRDefault="00C12BC1" w:rsidP="00310DCC">
      <w:pPr>
        <w:pStyle w:val="Rubrik1"/>
      </w:pPr>
      <w:r>
        <w:t>Method</w:t>
      </w:r>
    </w:p>
    <w:p w14:paraId="04BBAF78" w14:textId="77777777" w:rsidR="00310DCC" w:rsidRPr="00310DCC" w:rsidRDefault="00310DCC" w:rsidP="00310DCC"/>
    <w:p w14:paraId="02DE8AA3" w14:textId="0D9FC717" w:rsidR="00C12BC1" w:rsidRDefault="00C12BC1" w:rsidP="00C12BC1">
      <w:r>
        <w:t>A histogram of data distribution for mass was used to determine that the data was normally distributed and parametric tests could be used in the analysis. Difference in mass between sexes was analyzed with an ANOVA where sex was used as the predictor and mass as the response variable</w:t>
      </w:r>
      <w:r w:rsidR="00310DCC">
        <w:t xml:space="preserve"> (</w:t>
      </w:r>
      <w:r w:rsidR="00310DCC" w:rsidRPr="00310DCC">
        <w:t>https://github.com/eilaforsman/BIOS14.git</w:t>
      </w:r>
      <w:r w:rsidR="00310DCC">
        <w:t>)</w:t>
      </w:r>
      <w:r>
        <w:t>.</w:t>
      </w:r>
    </w:p>
    <w:p w14:paraId="2C84B7AD" w14:textId="2F473DBA" w:rsidR="00C12BC1" w:rsidRDefault="00C12BC1" w:rsidP="00310DCC">
      <w:pPr>
        <w:pStyle w:val="Rubrik1"/>
      </w:pPr>
      <w:r>
        <w:t>Result</w:t>
      </w:r>
    </w:p>
    <w:p w14:paraId="5B17C5B6" w14:textId="77777777" w:rsidR="00310DCC" w:rsidRPr="00310DCC" w:rsidRDefault="00310DCC" w:rsidP="00310DCC"/>
    <w:p w14:paraId="7E09EC2A" w14:textId="55137A30" w:rsidR="00C12BC1" w:rsidRPr="00C12BC1" w:rsidRDefault="00C12BC1" w:rsidP="00C12BC1">
      <w:r>
        <w:t xml:space="preserve">Mass measurements were taken on 1955 female goats and 2439 male goats (tab 1). Comparison showed that male goats were 13.1% heavier than female goats (mean mass 23.7 </w:t>
      </w:r>
      <m:oMath>
        <m:r>
          <w:rPr>
            <w:rFonts w:ascii="Cambria Math" w:hAnsi="Cambria Math"/>
          </w:rPr>
          <m:t>±</m:t>
        </m:r>
      </m:oMath>
      <w:r w:rsidR="00310DCC">
        <w:rPr>
          <w:rFonts w:eastAsiaTheme="minorEastAsia"/>
        </w:rPr>
        <w:t xml:space="preserve"> 0.10 </w:t>
      </w:r>
      <w:r>
        <w:t xml:space="preserve">and 20.6 </w:t>
      </w:r>
      <m:oMath>
        <m:r>
          <w:rPr>
            <w:rFonts w:ascii="Cambria Math" w:hAnsi="Cambria Math"/>
          </w:rPr>
          <m:t>±</m:t>
        </m:r>
      </m:oMath>
      <w:r w:rsidR="00310DCC">
        <w:rPr>
          <w:rFonts w:eastAsiaTheme="minorEastAsia"/>
        </w:rPr>
        <w:t xml:space="preserve"> 0.12 </w:t>
      </w:r>
      <w:r>
        <w:t xml:space="preserve">respectively, </w:t>
      </w:r>
      <w:r w:rsidR="00310DCC">
        <w:t xml:space="preserve">fig 1, tab 1, </w:t>
      </w:r>
      <w:r>
        <w:t>F</w:t>
      </w:r>
      <w:r>
        <w:rPr>
          <w:vertAlign w:val="subscript"/>
        </w:rPr>
        <w:t>1,4392</w:t>
      </w:r>
      <w:r>
        <w:t xml:space="preserve"> = 395.63, p &lt;0.001, </w:t>
      </w:r>
      <w:r w:rsidR="00310DCC">
        <w:t>Appendix: tab 1</w:t>
      </w:r>
      <w:r>
        <w:t>).</w:t>
      </w:r>
    </w:p>
    <w:p w14:paraId="2CB5BCB4" w14:textId="3F61FBCC" w:rsidR="00C12BC1" w:rsidRDefault="00C12BC1" w:rsidP="00C12BC1">
      <w:pPr>
        <w:jc w:val="center"/>
      </w:pPr>
      <w:r>
        <w:rPr>
          <w:noProof/>
        </w:rPr>
        <w:drawing>
          <wp:inline distT="0" distB="0" distL="0" distR="0" wp14:anchorId="7474E5E4" wp14:editId="15883E9B">
            <wp:extent cx="3494638" cy="2329759"/>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0401" cy="2340268"/>
                    </a:xfrm>
                    <a:prstGeom prst="rect">
                      <a:avLst/>
                    </a:prstGeom>
                  </pic:spPr>
                </pic:pic>
              </a:graphicData>
            </a:graphic>
          </wp:inline>
        </w:drawing>
      </w:r>
    </w:p>
    <w:p w14:paraId="2D058D9D" w14:textId="427BA038" w:rsidR="00C12BC1" w:rsidRPr="00C12BC1" w:rsidRDefault="00C12BC1" w:rsidP="00C12BC1">
      <w:pPr>
        <w:rPr>
          <w:sz w:val="20"/>
          <w:szCs w:val="20"/>
        </w:rPr>
      </w:pPr>
      <w:r w:rsidRPr="00C12BC1">
        <w:rPr>
          <w:sz w:val="20"/>
          <w:szCs w:val="20"/>
        </w:rPr>
        <w:t>Figure 1: Mean mass (kg) of male and female mountain goats. Error bars show +/- 1 SE.</w:t>
      </w:r>
    </w:p>
    <w:p w14:paraId="566C165D" w14:textId="1BBE64C7" w:rsidR="00C12BC1" w:rsidRDefault="00C12BC1" w:rsidP="00C12BC1">
      <w:pPr>
        <w:jc w:val="center"/>
      </w:pPr>
    </w:p>
    <w:p w14:paraId="722CF75D" w14:textId="14F9FE2E" w:rsidR="00C12BC1" w:rsidRPr="00C12BC1" w:rsidRDefault="00C12BC1" w:rsidP="00C12BC1">
      <w:pPr>
        <w:rPr>
          <w:sz w:val="20"/>
          <w:szCs w:val="20"/>
        </w:rPr>
      </w:pPr>
      <w:r w:rsidRPr="00C12BC1">
        <w:rPr>
          <w:sz w:val="20"/>
          <w:szCs w:val="20"/>
        </w:rPr>
        <w:t xml:space="preserve">Table 1: Mean mass (kg) +/- 1 standard error of female and male mountain goats and how many there were of each sex along with </w:t>
      </w:r>
    </w:p>
    <w:tbl>
      <w:tblPr>
        <w:tblStyle w:val="Oformateradtabell2"/>
        <w:tblW w:w="0" w:type="auto"/>
        <w:tblLook w:val="0620" w:firstRow="1" w:lastRow="0" w:firstColumn="0" w:lastColumn="0" w:noHBand="1" w:noVBand="1"/>
      </w:tblPr>
      <w:tblGrid>
        <w:gridCol w:w="1632"/>
        <w:gridCol w:w="1576"/>
        <w:gridCol w:w="1302"/>
      </w:tblGrid>
      <w:tr w:rsidR="00310DCC" w14:paraId="6E620E06" w14:textId="77777777" w:rsidTr="00C12BC1">
        <w:trPr>
          <w:cnfStyle w:val="100000000000" w:firstRow="1" w:lastRow="0" w:firstColumn="0" w:lastColumn="0" w:oddVBand="0" w:evenVBand="0" w:oddHBand="0" w:evenHBand="0" w:firstRowFirstColumn="0" w:firstRowLastColumn="0" w:lastRowFirstColumn="0" w:lastRowLastColumn="0"/>
        </w:trPr>
        <w:tc>
          <w:tcPr>
            <w:tcW w:w="1632" w:type="dxa"/>
          </w:tcPr>
          <w:p w14:paraId="4E6A0E02" w14:textId="77777777" w:rsidR="00310DCC" w:rsidRDefault="00310DCC" w:rsidP="00C12BC1"/>
        </w:tc>
        <w:tc>
          <w:tcPr>
            <w:tcW w:w="1576" w:type="dxa"/>
          </w:tcPr>
          <w:p w14:paraId="55A84CAD" w14:textId="387E336A" w:rsidR="00310DCC" w:rsidRDefault="00310DCC" w:rsidP="00C12BC1">
            <w:pPr>
              <w:jc w:val="center"/>
            </w:pPr>
            <w:r>
              <w:t xml:space="preserve">Mean </w:t>
            </w:r>
            <m:oMath>
              <m:r>
                <m:rPr>
                  <m:sty m:val="bi"/>
                </m:rPr>
                <w:rPr>
                  <w:rFonts w:ascii="Cambria Math" w:hAnsi="Cambria Math"/>
                </w:rPr>
                <m:t>±</m:t>
              </m:r>
            </m:oMath>
            <w:r>
              <w:rPr>
                <w:rFonts w:eastAsiaTheme="minorEastAsia"/>
              </w:rPr>
              <w:t xml:space="preserve"> SE</w:t>
            </w:r>
          </w:p>
        </w:tc>
        <w:tc>
          <w:tcPr>
            <w:tcW w:w="1302" w:type="dxa"/>
          </w:tcPr>
          <w:p w14:paraId="3CCC02B2" w14:textId="1E5E48A9" w:rsidR="00310DCC" w:rsidRDefault="00310DCC" w:rsidP="00C12BC1">
            <w:pPr>
              <w:jc w:val="center"/>
            </w:pPr>
            <w:r>
              <w:t>N</w:t>
            </w:r>
          </w:p>
        </w:tc>
      </w:tr>
      <w:tr w:rsidR="00310DCC" w14:paraId="5D4E6760" w14:textId="77777777" w:rsidTr="00C12BC1">
        <w:tc>
          <w:tcPr>
            <w:tcW w:w="1632" w:type="dxa"/>
          </w:tcPr>
          <w:p w14:paraId="42C0F87C" w14:textId="6D4773CC" w:rsidR="00310DCC" w:rsidRDefault="00310DCC" w:rsidP="00C12BC1">
            <w:r>
              <w:t>Female</w:t>
            </w:r>
          </w:p>
        </w:tc>
        <w:tc>
          <w:tcPr>
            <w:tcW w:w="1576" w:type="dxa"/>
          </w:tcPr>
          <w:p w14:paraId="00099414" w14:textId="69077E3A" w:rsidR="00310DCC" w:rsidRDefault="00310DCC" w:rsidP="00C12BC1">
            <w:pPr>
              <w:jc w:val="center"/>
            </w:pPr>
            <w:r>
              <w:t xml:space="preserve">20.6 </w:t>
            </w:r>
            <m:oMath>
              <m:r>
                <w:rPr>
                  <w:rFonts w:ascii="Cambria Math" w:hAnsi="Cambria Math"/>
                </w:rPr>
                <m:t>±</m:t>
              </m:r>
            </m:oMath>
            <w:r>
              <w:rPr>
                <w:rFonts w:eastAsiaTheme="minorEastAsia"/>
              </w:rPr>
              <w:t xml:space="preserve"> 0.12</w:t>
            </w:r>
          </w:p>
        </w:tc>
        <w:tc>
          <w:tcPr>
            <w:tcW w:w="1302" w:type="dxa"/>
          </w:tcPr>
          <w:p w14:paraId="2D524EAF" w14:textId="20416072" w:rsidR="00310DCC" w:rsidRDefault="00310DCC" w:rsidP="00C12BC1">
            <w:pPr>
              <w:jc w:val="center"/>
            </w:pPr>
            <w:r>
              <w:t>1955</w:t>
            </w:r>
          </w:p>
        </w:tc>
      </w:tr>
      <w:tr w:rsidR="00310DCC" w14:paraId="28CBC934" w14:textId="77777777" w:rsidTr="00C12BC1">
        <w:tc>
          <w:tcPr>
            <w:tcW w:w="1632" w:type="dxa"/>
          </w:tcPr>
          <w:p w14:paraId="23E0B461" w14:textId="6F01F125" w:rsidR="00310DCC" w:rsidRDefault="00310DCC" w:rsidP="00C12BC1">
            <w:r>
              <w:t>Male</w:t>
            </w:r>
          </w:p>
        </w:tc>
        <w:tc>
          <w:tcPr>
            <w:tcW w:w="1576" w:type="dxa"/>
          </w:tcPr>
          <w:p w14:paraId="7E74B34B" w14:textId="7C953012" w:rsidR="00310DCC" w:rsidRDefault="00310DCC" w:rsidP="00C12BC1">
            <w:pPr>
              <w:jc w:val="center"/>
            </w:pPr>
            <w:r>
              <w:t xml:space="preserve">23.7 </w:t>
            </w:r>
            <m:oMath>
              <m:r>
                <w:rPr>
                  <w:rFonts w:ascii="Cambria Math" w:hAnsi="Cambria Math"/>
                </w:rPr>
                <m:t>±</m:t>
              </m:r>
            </m:oMath>
            <w:r>
              <w:rPr>
                <w:rFonts w:eastAsiaTheme="minorEastAsia"/>
              </w:rPr>
              <w:t xml:space="preserve"> 0.10</w:t>
            </w:r>
          </w:p>
        </w:tc>
        <w:tc>
          <w:tcPr>
            <w:tcW w:w="1302" w:type="dxa"/>
          </w:tcPr>
          <w:p w14:paraId="4EF16937" w14:textId="26F8088E" w:rsidR="00310DCC" w:rsidRDefault="00310DCC" w:rsidP="00C12BC1">
            <w:pPr>
              <w:jc w:val="center"/>
            </w:pPr>
            <w:r>
              <w:t>2439</w:t>
            </w:r>
          </w:p>
        </w:tc>
      </w:tr>
    </w:tbl>
    <w:p w14:paraId="46B89470" w14:textId="3A08B959" w:rsidR="00C12BC1" w:rsidRDefault="00C12BC1" w:rsidP="00310DCC">
      <w:pPr>
        <w:pStyle w:val="Rubrik1"/>
      </w:pPr>
      <w:r>
        <w:t>Conclusion</w:t>
      </w:r>
    </w:p>
    <w:p w14:paraId="7BBB6A30" w14:textId="77777777" w:rsidR="00310DCC" w:rsidRPr="00310DCC" w:rsidRDefault="00310DCC" w:rsidP="00310DCC"/>
    <w:p w14:paraId="140CD01D" w14:textId="6DAC55DC" w:rsidR="00C12BC1" w:rsidRDefault="00C12BC1" w:rsidP="00C12BC1">
      <w:r>
        <w:t>The male mountain goats were heavier than the female mountain goats, as hypothesized.</w:t>
      </w:r>
      <w:r w:rsidR="00310DCC">
        <w:t xml:space="preserve"> This could confidently be concluded since the standard error of the estimates mean mass for each sex is low. Even with +/- 1 SE the estimated mean masses do not overlap.</w:t>
      </w:r>
    </w:p>
    <w:p w14:paraId="0766C8A5" w14:textId="0D2C0ED4" w:rsidR="00310DCC" w:rsidRDefault="00310DCC" w:rsidP="00C12BC1"/>
    <w:p w14:paraId="6E4186EC" w14:textId="63D41286" w:rsidR="00310DCC" w:rsidRDefault="00310DCC" w:rsidP="00310DCC">
      <w:pPr>
        <w:pStyle w:val="Rubrik1"/>
      </w:pPr>
      <w:r>
        <w:t>Appendix</w:t>
      </w:r>
    </w:p>
    <w:p w14:paraId="59D78807" w14:textId="77777777" w:rsidR="00310DCC" w:rsidRPr="00310DCC" w:rsidRDefault="00310DCC" w:rsidP="00310DCC"/>
    <w:p w14:paraId="1DB31EB2" w14:textId="192CB979" w:rsidR="00310DCC" w:rsidRDefault="00310DCC" w:rsidP="00310DCC">
      <w:r>
        <w:rPr>
          <w:sz w:val="20"/>
          <w:szCs w:val="20"/>
        </w:rPr>
        <w:t>Table 1: T</w:t>
      </w:r>
      <w:r w:rsidRPr="00C12BC1">
        <w:rPr>
          <w:sz w:val="20"/>
          <w:szCs w:val="20"/>
        </w:rPr>
        <w:t>est value (F) and significance level (p) from ANOVA comparing difference</w:t>
      </w:r>
      <w:r>
        <w:rPr>
          <w:sz w:val="20"/>
          <w:szCs w:val="20"/>
        </w:rPr>
        <w:t xml:space="preserve"> in mass</w:t>
      </w:r>
      <w:r w:rsidRPr="00C12BC1">
        <w:rPr>
          <w:sz w:val="20"/>
          <w:szCs w:val="20"/>
        </w:rPr>
        <w:t xml:space="preserve"> between the sexes.</w:t>
      </w:r>
      <w:r>
        <w:rPr>
          <w:sz w:val="20"/>
          <w:szCs w:val="20"/>
        </w:rPr>
        <w:t xml:space="preserve"> Index on F shows degree of freedom for groups (1) and for number of datapoints (4392).</w:t>
      </w:r>
    </w:p>
    <w:tbl>
      <w:tblPr>
        <w:tblStyle w:val="Oformateradtabell2"/>
        <w:tblW w:w="0" w:type="auto"/>
        <w:tblLook w:val="0620" w:firstRow="1" w:lastRow="0" w:firstColumn="0" w:lastColumn="0" w:noHBand="1" w:noVBand="1"/>
      </w:tblPr>
      <w:tblGrid>
        <w:gridCol w:w="1392"/>
        <w:gridCol w:w="1610"/>
        <w:gridCol w:w="1554"/>
      </w:tblGrid>
      <w:tr w:rsidR="00310DCC" w14:paraId="0E05FDC9" w14:textId="77777777" w:rsidTr="003954F5">
        <w:trPr>
          <w:cnfStyle w:val="100000000000" w:firstRow="1" w:lastRow="0" w:firstColumn="0" w:lastColumn="0" w:oddVBand="0" w:evenVBand="0" w:oddHBand="0" w:evenHBand="0" w:firstRowFirstColumn="0" w:firstRowLastColumn="0" w:lastRowFirstColumn="0" w:lastRowLastColumn="0"/>
        </w:trPr>
        <w:tc>
          <w:tcPr>
            <w:tcW w:w="1392" w:type="dxa"/>
          </w:tcPr>
          <w:p w14:paraId="3657778F" w14:textId="77777777" w:rsidR="00310DCC" w:rsidRDefault="00310DCC" w:rsidP="003954F5">
            <w:pPr>
              <w:jc w:val="center"/>
            </w:pPr>
          </w:p>
        </w:tc>
        <w:tc>
          <w:tcPr>
            <w:tcW w:w="1610" w:type="dxa"/>
          </w:tcPr>
          <w:p w14:paraId="54927380" w14:textId="74CC1342" w:rsidR="00310DCC" w:rsidRPr="00310DCC" w:rsidRDefault="00310DCC" w:rsidP="003954F5">
            <w:pPr>
              <w:jc w:val="center"/>
              <w:rPr>
                <w:vertAlign w:val="subscript"/>
              </w:rPr>
            </w:pPr>
            <w:r>
              <w:t>F</w:t>
            </w:r>
            <w:r>
              <w:rPr>
                <w:vertAlign w:val="subscript"/>
              </w:rPr>
              <w:t>1,4392</w:t>
            </w:r>
          </w:p>
        </w:tc>
        <w:tc>
          <w:tcPr>
            <w:tcW w:w="1554" w:type="dxa"/>
          </w:tcPr>
          <w:p w14:paraId="1165EB71" w14:textId="77777777" w:rsidR="00310DCC" w:rsidRDefault="00310DCC" w:rsidP="003954F5">
            <w:pPr>
              <w:jc w:val="center"/>
            </w:pPr>
            <w:r>
              <w:t>p</w:t>
            </w:r>
          </w:p>
        </w:tc>
      </w:tr>
      <w:tr w:rsidR="00310DCC" w14:paraId="4ECECE76" w14:textId="77777777" w:rsidTr="003954F5">
        <w:tc>
          <w:tcPr>
            <w:tcW w:w="1392" w:type="dxa"/>
          </w:tcPr>
          <w:p w14:paraId="16E5B02F" w14:textId="77777777" w:rsidR="00310DCC" w:rsidRDefault="00310DCC" w:rsidP="003954F5">
            <w:pPr>
              <w:jc w:val="center"/>
            </w:pPr>
            <w:r>
              <w:t>Sex</w:t>
            </w:r>
          </w:p>
        </w:tc>
        <w:tc>
          <w:tcPr>
            <w:tcW w:w="1610" w:type="dxa"/>
          </w:tcPr>
          <w:p w14:paraId="04A4BC57" w14:textId="77777777" w:rsidR="00310DCC" w:rsidRDefault="00310DCC" w:rsidP="003954F5">
            <w:pPr>
              <w:jc w:val="center"/>
            </w:pPr>
            <w:r>
              <w:t>395.63</w:t>
            </w:r>
          </w:p>
        </w:tc>
        <w:tc>
          <w:tcPr>
            <w:tcW w:w="1554" w:type="dxa"/>
          </w:tcPr>
          <w:p w14:paraId="3EDA1119" w14:textId="77777777" w:rsidR="00310DCC" w:rsidRDefault="00310DCC" w:rsidP="003954F5">
            <w:pPr>
              <w:jc w:val="center"/>
            </w:pPr>
            <w:r>
              <w:t>&lt; 0.001</w:t>
            </w:r>
          </w:p>
        </w:tc>
      </w:tr>
      <w:tr w:rsidR="00310DCC" w14:paraId="6FE8A04E" w14:textId="77777777" w:rsidTr="003954F5">
        <w:tc>
          <w:tcPr>
            <w:tcW w:w="1392" w:type="dxa"/>
          </w:tcPr>
          <w:p w14:paraId="6ED371A9" w14:textId="77777777" w:rsidR="00310DCC" w:rsidRDefault="00310DCC" w:rsidP="003954F5">
            <w:pPr>
              <w:jc w:val="center"/>
            </w:pPr>
          </w:p>
        </w:tc>
        <w:tc>
          <w:tcPr>
            <w:tcW w:w="1610" w:type="dxa"/>
          </w:tcPr>
          <w:p w14:paraId="40BC56B5" w14:textId="77777777" w:rsidR="00310DCC" w:rsidRDefault="00310DCC" w:rsidP="003954F5">
            <w:pPr>
              <w:jc w:val="center"/>
            </w:pPr>
          </w:p>
        </w:tc>
        <w:tc>
          <w:tcPr>
            <w:tcW w:w="1554" w:type="dxa"/>
          </w:tcPr>
          <w:p w14:paraId="14573067" w14:textId="77777777" w:rsidR="00310DCC" w:rsidRDefault="00310DCC" w:rsidP="003954F5">
            <w:pPr>
              <w:jc w:val="center"/>
            </w:pPr>
          </w:p>
        </w:tc>
      </w:tr>
    </w:tbl>
    <w:p w14:paraId="44D55D4E" w14:textId="77777777" w:rsidR="00310DCC" w:rsidRPr="00310DCC" w:rsidRDefault="00310DCC" w:rsidP="00310DCC"/>
    <w:sectPr w:rsidR="00310DCC" w:rsidRPr="00310DCC" w:rsidSect="00310DCC">
      <w:pgSz w:w="11900" w:h="16840"/>
      <w:pgMar w:top="1134"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98"/>
    <w:rsid w:val="00057337"/>
    <w:rsid w:val="000D7A08"/>
    <w:rsid w:val="00165E05"/>
    <w:rsid w:val="002B0F0A"/>
    <w:rsid w:val="00310DCC"/>
    <w:rsid w:val="00371AA7"/>
    <w:rsid w:val="003D1D47"/>
    <w:rsid w:val="005465DF"/>
    <w:rsid w:val="005B19DD"/>
    <w:rsid w:val="005C7FB4"/>
    <w:rsid w:val="006276EB"/>
    <w:rsid w:val="007F2B71"/>
    <w:rsid w:val="00855398"/>
    <w:rsid w:val="00C12BC1"/>
    <w:rsid w:val="00E741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DB3D067"/>
  <w15:chartTrackingRefBased/>
  <w15:docId w15:val="{E9CF63BA-D275-4044-A4FE-B0C0AF26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E05"/>
    <w:rPr>
      <w:rFonts w:ascii="Times New Roman" w:hAnsi="Times New Roman"/>
      <w:lang w:val="en-US"/>
    </w:rPr>
  </w:style>
  <w:style w:type="paragraph" w:styleId="Rubrik1">
    <w:name w:val="heading 1"/>
    <w:basedOn w:val="Normal"/>
    <w:next w:val="Normal"/>
    <w:link w:val="Rubrik1Char"/>
    <w:uiPriority w:val="9"/>
    <w:qFormat/>
    <w:rsid w:val="005C7FB4"/>
    <w:pPr>
      <w:keepNext/>
      <w:keepLines/>
      <w:spacing w:before="240"/>
      <w:outlineLvl w:val="0"/>
    </w:pPr>
    <w:rPr>
      <w:rFonts w:eastAsiaTheme="majorEastAsia" w:cstheme="majorBidi"/>
      <w:color w:val="000000" w:themeColor="text1"/>
      <w:sz w:val="36"/>
      <w:szCs w:val="32"/>
    </w:rPr>
  </w:style>
  <w:style w:type="paragraph" w:styleId="Rubrik2">
    <w:name w:val="heading 2"/>
    <w:basedOn w:val="Normal"/>
    <w:next w:val="Normal"/>
    <w:link w:val="Rubrik2Char"/>
    <w:uiPriority w:val="9"/>
    <w:unhideWhenUsed/>
    <w:qFormat/>
    <w:rsid w:val="00165E05"/>
    <w:pPr>
      <w:keepNext/>
      <w:keepLines/>
      <w:spacing w:before="40"/>
      <w:outlineLvl w:val="1"/>
    </w:pPr>
    <w:rPr>
      <w:rFonts w:eastAsiaTheme="majorEastAsia" w:cstheme="majorBidi"/>
      <w:b/>
      <w:color w:val="000000" w:themeColor="text1"/>
      <w:sz w:val="32"/>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65E05"/>
    <w:pPr>
      <w:contextualSpacing/>
      <w:jc w:val="center"/>
    </w:pPr>
    <w:rPr>
      <w:rFonts w:eastAsiaTheme="majorEastAsia" w:cstheme="majorBidi"/>
      <w:spacing w:val="-10"/>
      <w:kern w:val="28"/>
      <w:sz w:val="56"/>
      <w:szCs w:val="56"/>
    </w:rPr>
  </w:style>
  <w:style w:type="character" w:customStyle="1" w:styleId="RubrikChar">
    <w:name w:val="Rubrik Char"/>
    <w:basedOn w:val="Standardstycketeckensnitt"/>
    <w:link w:val="Rubrik"/>
    <w:uiPriority w:val="10"/>
    <w:rsid w:val="00165E05"/>
    <w:rPr>
      <w:rFonts w:ascii="Times New Roman" w:eastAsiaTheme="majorEastAsia" w:hAnsi="Times New Roman" w:cstheme="majorBidi"/>
      <w:spacing w:val="-10"/>
      <w:kern w:val="28"/>
      <w:sz w:val="56"/>
      <w:szCs w:val="56"/>
      <w:lang w:val="en-US"/>
    </w:rPr>
  </w:style>
  <w:style w:type="character" w:customStyle="1" w:styleId="Rubrik2Char">
    <w:name w:val="Rubrik 2 Char"/>
    <w:basedOn w:val="Standardstycketeckensnitt"/>
    <w:link w:val="Rubrik2"/>
    <w:uiPriority w:val="9"/>
    <w:rsid w:val="00165E05"/>
    <w:rPr>
      <w:rFonts w:ascii="Times New Roman" w:eastAsiaTheme="majorEastAsia" w:hAnsi="Times New Roman" w:cstheme="majorBidi"/>
      <w:b/>
      <w:color w:val="000000" w:themeColor="text1"/>
      <w:sz w:val="32"/>
      <w:szCs w:val="26"/>
      <w:lang w:val="en-US"/>
    </w:rPr>
  </w:style>
  <w:style w:type="character" w:customStyle="1" w:styleId="Rubrik1Char">
    <w:name w:val="Rubrik 1 Char"/>
    <w:basedOn w:val="Standardstycketeckensnitt"/>
    <w:link w:val="Rubrik1"/>
    <w:uiPriority w:val="9"/>
    <w:rsid w:val="005C7FB4"/>
    <w:rPr>
      <w:rFonts w:ascii="Times New Roman" w:eastAsiaTheme="majorEastAsia" w:hAnsi="Times New Roman" w:cstheme="majorBidi"/>
      <w:color w:val="000000" w:themeColor="text1"/>
      <w:sz w:val="36"/>
      <w:szCs w:val="32"/>
      <w:lang w:val="en-US"/>
    </w:rPr>
  </w:style>
  <w:style w:type="table" w:styleId="Tabellrutnt">
    <w:name w:val="Table Grid"/>
    <w:basedOn w:val="Normaltabell"/>
    <w:uiPriority w:val="39"/>
    <w:rsid w:val="00C12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C12BC1"/>
    <w:rPr>
      <w:color w:val="808080"/>
    </w:rPr>
  </w:style>
  <w:style w:type="table" w:styleId="Oformateradtabell2">
    <w:name w:val="Plain Table 2"/>
    <w:basedOn w:val="Normaltabell"/>
    <w:uiPriority w:val="42"/>
    <w:rsid w:val="00C12BC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850</Words>
  <Characters>4505</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Eila Forsman</dc:creator>
  <cp:keywords/>
  <dc:description/>
  <cp:lastModifiedBy>Eila Forsman</cp:lastModifiedBy>
  <cp:revision>7</cp:revision>
  <dcterms:created xsi:type="dcterms:W3CDTF">2023-01-01T13:38:00Z</dcterms:created>
  <dcterms:modified xsi:type="dcterms:W3CDTF">2023-01-06T18:09:00Z</dcterms:modified>
</cp:coreProperties>
</file>