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p14">
  <w:body>
    <w:p>
      <w:pPr>
        <w:tabs>
          <w:tab w:val="center" w:pos="4153"/>
          <w:tab w:val="right" w:pos="8306"/>
        </w:tabs>
        <w:spacing w:line="259" w:lineRule="auto"/>
        <w:rPr>
          <w:lang w:eastAsia="lt-LT"/>
        </w:rPr>
      </w:pPr>
    </w:p>
    <w:p>
      <w:pPr>
        <w:rPr>
          <w:sz w:val="14"/>
          <w:szCs w:val="14"/>
        </w:rPr>
      </w:pPr>
    </w:p>
    <w:p>
      <w:pPr>
        <w:ind w:left="6804"/>
        <w:jc w:val="right"/>
        <w:rPr>
          <w:b/>
          <w:lang w:eastAsia="lt-LT"/>
        </w:rPr>
      </w:pPr>
      <w:r>
        <w:rPr>
          <w:b/>
          <w:lang w:eastAsia="lt-LT"/>
        </w:rPr>
        <w:t>Projektas</w:t>
      </w:r>
    </w:p>
    <w:p>
      <w:pPr>
        <w:jc w:val="right"/>
        <w:rPr>
          <w:b/>
          <w:lang w:eastAsia="lt-LT"/>
        </w:rPr>
      </w:pPr>
    </w:p>
    <w:p>
      <w:pPr>
        <w:rPr>
          <w:sz w:val="10"/>
          <w:szCs w:val="10"/>
        </w:rPr>
      </w:pPr>
    </w:p>
    <w:p>
      <w:pPr>
        <w:jc w:val="center"/>
        <w:rPr>
          <w:b/>
          <w:caps/>
          <w:lang w:eastAsia="lt-LT"/>
        </w:rPr>
      </w:pPr>
      <w:r>
        <w:rPr>
          <w:b/>
          <w:caps/>
          <w:lang w:eastAsia="lt-LT"/>
        </w:rPr>
        <w:t>Lietuvos Respublikos Vyriausybė</w:t>
      </w:r>
    </w:p>
    <w:p>
      <w:pPr>
        <w:jc w:val="center"/>
        <w:rPr>
          <w:caps/>
          <w:lang w:eastAsia="lt-LT"/>
        </w:rPr>
      </w:pPr>
    </w:p>
    <w:p>
      <w:pPr>
        <w:jc w:val="center"/>
        <w:rPr>
          <w:b/>
          <w:caps/>
          <w:lang w:eastAsia="lt-LT"/>
        </w:rPr>
      </w:pPr>
      <w:r>
        <w:rPr>
          <w:b/>
          <w:caps/>
          <w:lang w:eastAsia="lt-LT"/>
        </w:rPr>
        <w:t>nutarimas</w:t>
      </w:r>
    </w:p>
    <w:p>
      <w:pPr>
        <w:widowControl w:val="0"/>
        <w:jc w:val="center"/>
        <w:rPr>
          <w:b/>
          <w:caps/>
          <w:lang w:eastAsia="lt-LT"/>
        </w:rPr>
      </w:pPr>
      <w:r>
        <w:rPr>
          <w:b/>
          <w:caps/>
          <w:lang w:eastAsia="lt-LT"/>
        </w:rPr>
        <w:t>DĖL LIETUVOS RESPUBLIKOS VYRIAUSYBĖS 2005 M. BALANDŽIO 21 D. NUTARIMO NR. 447 „DĖL LIETUVOS RESPUBLIKOS KELIŲ PRIEŽIŪROS IR PLĖTROS PROGRAMOS FINANSAVIMO ĮSTATYMO ĮGYVENDINIMO“ PAKEITIMO</w:t>
      </w:r>
    </w:p>
    <w:p>
      <w:pPr>
        <w:tabs>
          <w:tab w:val="center" w:pos="4153"/>
          <w:tab w:val="right" w:pos="8306"/>
        </w:tabs>
        <w:rPr>
          <w:lang w:eastAsia="lt-LT"/>
        </w:rPr>
      </w:pPr>
    </w:p>
    <w:p>
      <w:pPr>
        <w:ind w:firstLine="62"/>
        <w:jc w:val="center"/>
        <w:rPr>
          <w:lang w:eastAsia="lt-LT"/>
        </w:rPr>
      </w:pPr>
      <w:r>
        <w:rPr>
          <w:lang w:eastAsia="lt-LT"/>
        </w:rPr>
        <w:t xml:space="preserve">2018 m.                     d. Nr.   </w:t>
      </w:r>
    </w:p>
    <w:p>
      <w:pPr>
        <w:jc w:val="center"/>
        <w:rPr>
          <w:lang w:eastAsia="lt-LT"/>
        </w:rPr>
      </w:pPr>
      <w:r>
        <w:rPr>
          <w:lang w:eastAsia="lt-LT"/>
        </w:rPr>
        <w:t>Vilnius</w:t>
      </w:r>
    </w:p>
    <w:p>
      <w:pPr>
        <w:jc w:val="center"/>
        <w:rPr>
          <w:lang w:eastAsia="lt-LT"/>
        </w:rPr>
      </w:pPr>
    </w:p>
    <w:p>
      <w:pPr>
        <w:jc w:val="center"/>
        <w:rPr>
          <w:lang w:eastAsia="lt-LT"/>
        </w:rPr>
      </w:pPr>
    </w:p>
    <w:p>
      <w:pPr>
        <w:ind w:firstLine="720"/>
        <w:jc w:val="both"/>
        <w:rPr>
          <w:szCs w:val="24"/>
          <w:lang w:eastAsia="lt-LT"/>
        </w:rPr>
      </w:pPr>
      <w:r>
        <w:rPr>
          <w:szCs w:val="24"/>
          <w:lang w:eastAsia="lt-LT"/>
        </w:rPr>
        <w:t>Lietuvos Respublikos Vyriausybė</w:t>
      </w:r>
      <w:r>
        <w:rPr>
          <w:spacing w:val="100"/>
          <w:szCs w:val="24"/>
          <w:lang w:eastAsia="lt-LT"/>
        </w:rPr>
        <w:t xml:space="preserve"> nutari</w:t>
      </w:r>
      <w:r>
        <w:rPr>
          <w:szCs w:val="24"/>
          <w:lang w:eastAsia="lt-LT"/>
        </w:rPr>
        <w:t>a:</w:t>
      </w:r>
    </w:p>
    <w:p>
      <w:pPr>
        <w:ind w:firstLine="720"/>
        <w:jc w:val="both"/>
        <w:rPr>
          <w:szCs w:val="24"/>
          <w:lang w:eastAsia="lt-LT"/>
        </w:rPr>
      </w:pPr>
      <w:r>
        <w:rPr>
          <w:szCs w:val="24"/>
          <w:lang w:eastAsia="lt-LT"/>
        </w:rPr>
        <w:t>1</w:t>
      </w:r>
      <w:r>
        <w:rPr>
          <w:szCs w:val="24"/>
          <w:lang w:eastAsia="lt-LT"/>
        </w:rPr>
        <w:t>. Pakeisti Lietuvos Respublikos Vyriausybės 2005 m. balandžio 21 d. nutarimą Nr. 447 „Dėl Lietuvos Respublikos kelių priežiūros ir plėtros programos finansavimo įstatymo įgyvendinimo“ ir 2.4 papunktį išdėstyti taip:</w:t>
      </w:r>
    </w:p>
    <w:p>
      <w:pPr>
        <w:ind w:firstLine="720"/>
        <w:jc w:val="both"/>
        <w:rPr>
          <w:szCs w:val="24"/>
          <w:lang w:eastAsia="lt-LT"/>
        </w:rPr>
      </w:pPr>
      <w:r>
        <w:rPr>
          <w:szCs w:val="24"/>
          <w:lang w:eastAsia="lt-LT"/>
        </w:rPr>
        <w:t>„</w:t>
      </w:r>
      <w:r>
        <w:rPr>
          <w:szCs w:val="24"/>
          <w:lang w:eastAsia="lt-LT"/>
        </w:rPr>
        <w:t>2.4</w:t>
      </w:r>
      <w:r>
        <w:rPr>
          <w:szCs w:val="24"/>
          <w:lang w:eastAsia="lt-LT"/>
        </w:rPr>
        <w:t>. Lietuvos automobilių kelių direkciją prie Susisiekimo ministerijos – organizuoti kelių naudotojo mokesčio sumokėjimo ir keleivių ir transporto priemonių, gaunančių perkėlimo keltais per Klaipėdos valstybinio jūrų uosto akvatoriją į Kuršių neriją ir iš Kuršių nerijos bilieto kainos kompensaciją, registravimą informacinėje sistemoje.“</w:t>
      </w:r>
    </w:p>
    <w:p>
      <w:pPr>
        <w:tabs>
          <w:tab w:val="left" w:pos="851"/>
          <w:tab w:val="left" w:pos="993"/>
        </w:tabs>
        <w:ind w:firstLine="720"/>
        <w:jc w:val="both"/>
        <w:rPr>
          <w:szCs w:val="24"/>
          <w:lang w:eastAsia="lt-LT"/>
        </w:rPr>
      </w:pPr>
      <w:r>
        <w:rPr>
          <w:szCs w:val="24"/>
          <w:lang w:eastAsia="lt-LT"/>
        </w:rPr>
        <w:t>2</w:t>
      </w:r>
      <w:r>
        <w:rPr>
          <w:szCs w:val="24"/>
          <w:lang w:eastAsia="lt-LT"/>
        </w:rPr>
        <w:t>. Pakeisti nurodytu nutarimu patvirtintą Kelių naudotojo mokesčio dydžių ir šio mokesčio mokėjimo, administravimo ir priežiūros tvarkos aprašą:</w:t>
      </w:r>
    </w:p>
    <w:p>
      <w:pPr>
        <w:tabs>
          <w:tab w:val="left" w:pos="851"/>
          <w:tab w:val="left" w:pos="993"/>
        </w:tabs>
        <w:ind w:firstLine="720"/>
        <w:jc w:val="both"/>
        <w:rPr>
          <w:szCs w:val="24"/>
          <w:lang w:eastAsia="lt-LT"/>
        </w:rPr>
      </w:pPr>
      <w:r>
        <w:rPr>
          <w:szCs w:val="24"/>
          <w:lang w:eastAsia="lt-LT"/>
        </w:rPr>
        <w:t>2.1</w:t>
      </w:r>
      <w:r>
        <w:rPr>
          <w:szCs w:val="24"/>
          <w:lang w:eastAsia="lt-LT"/>
        </w:rPr>
        <w:t>. Pakeisti 1 punkto lentelės 4 eilutę ir ją išdėstyti taip:</w:t>
      </w:r>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0"/>
        <w:gridCol w:w="1031"/>
        <w:gridCol w:w="1665"/>
        <w:gridCol w:w="1603"/>
        <w:gridCol w:w="1594"/>
        <w:gridCol w:w="1594"/>
        <w:gridCol w:w="683"/>
      </w:tblGrid>
      <w:tr>
        <w:trPr>
          <w:trHeight w:val="23"/>
        </w:trPr>
        <w:tc>
          <w:tcPr>
            <w:tcW w:w="1134" w:type="dxa"/>
            <w:tcMar>
              <w:top w:w="0" w:type="dxa"/>
              <w:left w:w="57" w:type="dxa"/>
              <w:bottom w:w="0" w:type="dxa"/>
              <w:right w:w="57" w:type="dxa"/>
            </w:tcMar>
            <w:hideMark/>
          </w:tcPr>
          <w:p>
            <w:pPr>
              <w:rPr>
                <w:sz w:val="8"/>
                <w:szCs w:val="8"/>
              </w:rPr>
            </w:pPr>
          </w:p>
          <w:p>
            <w:pPr>
              <w:keepNext/>
              <w:spacing w:line="23" w:lineRule="atLeast"/>
              <w:rPr>
                <w:szCs w:val="24"/>
                <w:lang w:eastAsia="lt-LT"/>
              </w:rPr>
            </w:pPr>
            <w:r>
              <w:rPr>
                <w:sz w:val="22"/>
                <w:szCs w:val="22"/>
                <w:lang w:eastAsia="lt-LT"/>
              </w:rPr>
              <w:t>„Krovininės kelių transporto priemonės ir jų junginiai</w:t>
            </w:r>
          </w:p>
        </w:tc>
        <w:tc>
          <w:tcPr>
            <w:tcW w:w="709" w:type="dxa"/>
            <w:tcMar>
              <w:top w:w="0" w:type="dxa"/>
              <w:left w:w="57" w:type="dxa"/>
              <w:bottom w:w="0" w:type="dxa"/>
              <w:right w:w="57" w:type="dxa"/>
            </w:tcMar>
            <w:hideMark/>
          </w:tcPr>
          <w:p>
            <w:pPr>
              <w:rPr>
                <w:sz w:val="8"/>
                <w:szCs w:val="8"/>
              </w:rPr>
            </w:pPr>
          </w:p>
          <w:p>
            <w:pPr>
              <w:keepNext/>
              <w:spacing w:line="23" w:lineRule="atLeast"/>
              <w:jc w:val="center"/>
              <w:rPr>
                <w:sz w:val="22"/>
                <w:szCs w:val="22"/>
                <w:vertAlign w:val="subscript"/>
                <w:lang w:eastAsia="lt-LT"/>
              </w:rPr>
            </w:pPr>
            <w:r>
              <w:rPr>
                <w:sz w:val="22"/>
                <w:szCs w:val="22"/>
                <w:lang w:eastAsia="lt-LT"/>
              </w:rPr>
              <w:t>N</w:t>
            </w:r>
            <w:r>
              <w:rPr>
                <w:sz w:val="22"/>
                <w:szCs w:val="22"/>
                <w:vertAlign w:val="subscript"/>
                <w:lang w:eastAsia="lt-LT"/>
              </w:rPr>
              <w:t>1</w:t>
            </w:r>
          </w:p>
          <w:p>
            <w:pPr>
              <w:rPr>
                <w:sz w:val="8"/>
                <w:szCs w:val="8"/>
              </w:rPr>
            </w:pPr>
          </w:p>
          <w:p>
            <w:pPr>
              <w:keepNext/>
              <w:spacing w:line="23" w:lineRule="atLeast"/>
              <w:jc w:val="center"/>
              <w:rPr>
                <w:szCs w:val="24"/>
                <w:lang w:eastAsia="lt-LT"/>
              </w:rPr>
            </w:pPr>
            <w:r>
              <w:rPr>
                <w:sz w:val="22"/>
                <w:szCs w:val="22"/>
                <w:lang w:eastAsia="lt-LT"/>
              </w:rPr>
              <w:t>N</w:t>
            </w:r>
            <w:r>
              <w:rPr>
                <w:sz w:val="22"/>
                <w:szCs w:val="22"/>
                <w:vertAlign w:val="subscript"/>
                <w:lang w:eastAsia="lt-LT"/>
              </w:rPr>
              <w:t xml:space="preserve">1 </w:t>
            </w:r>
            <w:r>
              <w:rPr>
                <w:sz w:val="22"/>
                <w:szCs w:val="22"/>
                <w:lang w:eastAsia="lt-LT"/>
              </w:rPr>
              <w:t>specialio-sios paskirties transporto priemonės</w:t>
            </w:r>
          </w:p>
        </w:tc>
        <w:tc>
          <w:tcPr>
            <w:tcW w:w="1701" w:type="dxa"/>
            <w:tcMar>
              <w:top w:w="0" w:type="dxa"/>
              <w:left w:w="57" w:type="dxa"/>
              <w:bottom w:w="0" w:type="dxa"/>
              <w:right w:w="57" w:type="dxa"/>
            </w:tcMar>
            <w:hideMark/>
          </w:tcPr>
          <w:p>
            <w:pPr>
              <w:rPr>
                <w:sz w:val="8"/>
                <w:szCs w:val="8"/>
              </w:rPr>
            </w:pPr>
          </w:p>
          <w:p>
            <w:pPr>
              <w:keepNext/>
              <w:spacing w:line="23" w:lineRule="atLeast"/>
              <w:rPr>
                <w:szCs w:val="24"/>
                <w:lang w:eastAsia="lt-LT"/>
              </w:rPr>
            </w:pPr>
            <w:r>
              <w:rPr>
                <w:sz w:val="22"/>
                <w:szCs w:val="22"/>
                <w:lang w:eastAsia="lt-LT"/>
              </w:rPr>
              <w:t>iki 3,5 tonos (įskaitytinai)</w:t>
            </w:r>
          </w:p>
        </w:tc>
        <w:tc>
          <w:tcPr>
            <w:tcW w:w="1701" w:type="dxa"/>
            <w:tcMar>
              <w:top w:w="0" w:type="dxa"/>
              <w:left w:w="57" w:type="dxa"/>
              <w:bottom w:w="0" w:type="dxa"/>
              <w:right w:w="57" w:type="dxa"/>
            </w:tcMar>
            <w:hideMark/>
          </w:tcPr>
          <w:p>
            <w:pPr>
              <w:rPr>
                <w:sz w:val="8"/>
                <w:szCs w:val="8"/>
              </w:rPr>
            </w:pPr>
          </w:p>
          <w:p>
            <w:pPr>
              <w:keepNext/>
              <w:spacing w:line="23" w:lineRule="atLeast"/>
              <w:jc w:val="center"/>
              <w:rPr>
                <w:szCs w:val="24"/>
                <w:lang w:eastAsia="lt-LT"/>
              </w:rPr>
            </w:pPr>
            <w:r>
              <w:rPr>
                <w:sz w:val="22"/>
                <w:szCs w:val="22"/>
                <w:lang w:eastAsia="lt-LT"/>
              </w:rPr>
              <w:t>304</w:t>
            </w:r>
          </w:p>
        </w:tc>
        <w:tc>
          <w:tcPr>
            <w:tcW w:w="1701" w:type="dxa"/>
            <w:tcMar>
              <w:top w:w="0" w:type="dxa"/>
              <w:left w:w="57" w:type="dxa"/>
              <w:bottom w:w="0" w:type="dxa"/>
              <w:right w:w="57" w:type="dxa"/>
            </w:tcMar>
            <w:hideMark/>
          </w:tcPr>
          <w:p>
            <w:pPr>
              <w:rPr>
                <w:sz w:val="8"/>
                <w:szCs w:val="8"/>
              </w:rPr>
            </w:pPr>
          </w:p>
          <w:p>
            <w:pPr>
              <w:keepNext/>
              <w:spacing w:line="23" w:lineRule="atLeast"/>
              <w:jc w:val="center"/>
              <w:rPr>
                <w:szCs w:val="24"/>
                <w:lang w:eastAsia="lt-LT"/>
              </w:rPr>
            </w:pPr>
            <w:r>
              <w:rPr>
                <w:sz w:val="22"/>
                <w:szCs w:val="22"/>
                <w:lang w:eastAsia="lt-LT"/>
              </w:rPr>
              <w:t>28</w:t>
            </w:r>
          </w:p>
        </w:tc>
        <w:tc>
          <w:tcPr>
            <w:tcW w:w="1701" w:type="dxa"/>
            <w:tcMar>
              <w:top w:w="0" w:type="dxa"/>
              <w:left w:w="57" w:type="dxa"/>
              <w:bottom w:w="0" w:type="dxa"/>
              <w:right w:w="57" w:type="dxa"/>
            </w:tcMar>
            <w:hideMark/>
          </w:tcPr>
          <w:p>
            <w:pPr>
              <w:rPr>
                <w:sz w:val="8"/>
                <w:szCs w:val="8"/>
              </w:rPr>
            </w:pPr>
          </w:p>
          <w:p>
            <w:pPr>
              <w:keepNext/>
              <w:spacing w:line="23" w:lineRule="atLeast"/>
              <w:jc w:val="center"/>
              <w:rPr>
                <w:szCs w:val="24"/>
                <w:lang w:eastAsia="lt-LT"/>
              </w:rPr>
            </w:pPr>
            <w:r>
              <w:rPr>
                <w:sz w:val="22"/>
                <w:szCs w:val="22"/>
                <w:lang w:eastAsia="lt-LT"/>
              </w:rPr>
              <w:t>14</w:t>
            </w:r>
          </w:p>
        </w:tc>
        <w:tc>
          <w:tcPr>
            <w:tcW w:w="709" w:type="dxa"/>
            <w:tcMar>
              <w:top w:w="0" w:type="dxa"/>
              <w:left w:w="57" w:type="dxa"/>
              <w:bottom w:w="0" w:type="dxa"/>
              <w:right w:w="57" w:type="dxa"/>
            </w:tcMar>
            <w:hideMark/>
          </w:tcPr>
          <w:p>
            <w:pPr>
              <w:rPr>
                <w:sz w:val="8"/>
                <w:szCs w:val="8"/>
              </w:rPr>
            </w:pPr>
          </w:p>
          <w:p>
            <w:pPr>
              <w:keepNext/>
              <w:spacing w:line="23" w:lineRule="atLeast"/>
              <w:jc w:val="center"/>
              <w:rPr>
                <w:szCs w:val="24"/>
                <w:lang w:eastAsia="lt-LT"/>
              </w:rPr>
            </w:pPr>
            <w:r>
              <w:rPr>
                <w:sz w:val="22"/>
                <w:szCs w:val="22"/>
                <w:lang w:eastAsia="lt-LT"/>
              </w:rPr>
              <w:t>6“.</w:t>
            </w:r>
          </w:p>
        </w:tc>
      </w:tr>
    </w:tbl>
    <w:p/>
    <w:p>
      <w:pPr>
        <w:tabs>
          <w:tab w:val="left" w:pos="851"/>
          <w:tab w:val="left" w:pos="993"/>
        </w:tabs>
        <w:ind w:firstLine="720"/>
        <w:jc w:val="both"/>
        <w:rPr>
          <w:szCs w:val="24"/>
          <w:lang w:eastAsia="lt-LT"/>
        </w:rPr>
      </w:pPr>
      <w:r>
        <w:rPr>
          <w:szCs w:val="24"/>
          <w:lang w:eastAsia="lt-LT"/>
        </w:rPr>
        <w:t>2.2</w:t>
      </w:r>
      <w:r>
        <w:rPr>
          <w:szCs w:val="24"/>
          <w:lang w:eastAsia="lt-LT"/>
        </w:rPr>
        <w:t>. Pakeisti 1 punkto lentelės 8 eilutę ir ją išdėstyti taip:</w:t>
      </w:r>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34"/>
        <w:gridCol w:w="709"/>
        <w:gridCol w:w="1702"/>
        <w:gridCol w:w="1702"/>
        <w:gridCol w:w="1702"/>
        <w:gridCol w:w="1702"/>
        <w:gridCol w:w="709"/>
      </w:tblGrid>
      <w:tr>
        <w:trPr>
          <w:trHeight w:val="23"/>
        </w:trPr>
        <w:tc>
          <w:tcPr>
            <w:tcW w:w="1134" w:type="dxa"/>
            <w:tcBorders>
              <w:top w:val="single" w:sz="4" w:space="0" w:color="auto"/>
              <w:left w:val="single" w:sz="4" w:space="0" w:color="auto"/>
              <w:bottom w:val="single" w:sz="4" w:space="0" w:color="auto"/>
              <w:right w:val="single" w:sz="4" w:space="0" w:color="auto"/>
            </w:tcBorders>
            <w:hideMark/>
          </w:tcPr>
          <w:p>
            <w:pPr>
              <w:rPr>
                <w:sz w:val="22"/>
                <w:szCs w:val="22"/>
                <w:lang w:eastAsia="lt-LT"/>
              </w:rPr>
            </w:pPr>
            <w:r>
              <w:rPr>
                <w:sz w:val="22"/>
                <w:szCs w:val="22"/>
                <w:lang w:eastAsia="lt-LT"/>
              </w:rPr>
              <w:t>„Specialio-sios paskirties transporto priemonės</w:t>
            </w:r>
          </w:p>
        </w:tc>
        <w:tc>
          <w:tcPr>
            <w:tcW w:w="709" w:type="dxa"/>
            <w:tcBorders>
              <w:top w:val="single" w:sz="4" w:space="0" w:color="auto"/>
              <w:left w:val="single" w:sz="4" w:space="0" w:color="auto"/>
              <w:bottom w:val="single" w:sz="4" w:space="0" w:color="auto"/>
              <w:right w:val="single" w:sz="4" w:space="0" w:color="auto"/>
            </w:tcBorders>
          </w:tcPr>
          <w:p>
            <w:pPr>
              <w:jc w:val="center"/>
              <w:rPr>
                <w:sz w:val="22"/>
                <w:szCs w:val="22"/>
                <w:lang w:eastAsia="lt-LT"/>
              </w:rPr>
            </w:pPr>
            <w:r>
              <w:rPr>
                <w:sz w:val="22"/>
                <w:szCs w:val="22"/>
                <w:lang w:eastAsia="lt-LT"/>
              </w:rPr>
              <w:t>M</w:t>
            </w:r>
            <w:r>
              <w:rPr>
                <w:sz w:val="22"/>
                <w:szCs w:val="22"/>
                <w:vertAlign w:val="subscript"/>
                <w:lang w:eastAsia="lt-LT"/>
              </w:rPr>
              <w:t>2</w:t>
            </w:r>
            <w:r>
              <w:rPr>
                <w:sz w:val="22"/>
                <w:szCs w:val="22"/>
                <w:lang w:eastAsia="lt-LT"/>
              </w:rPr>
              <w:t>–M</w:t>
            </w:r>
            <w:r>
              <w:rPr>
                <w:sz w:val="22"/>
                <w:szCs w:val="22"/>
                <w:vertAlign w:val="subscript"/>
                <w:lang w:eastAsia="lt-LT"/>
              </w:rPr>
              <w:t>3</w:t>
            </w:r>
          </w:p>
          <w:p>
            <w:pPr>
              <w:jc w:val="center"/>
              <w:rPr>
                <w:sz w:val="22"/>
                <w:szCs w:val="22"/>
                <w:vertAlign w:val="subscript"/>
                <w:lang w:eastAsia="lt-LT"/>
              </w:rPr>
            </w:pPr>
            <w:r>
              <w:rPr>
                <w:sz w:val="22"/>
                <w:szCs w:val="22"/>
                <w:lang w:eastAsia="lt-LT"/>
              </w:rPr>
              <w:t>N</w:t>
            </w:r>
            <w:r>
              <w:rPr>
                <w:sz w:val="22"/>
                <w:szCs w:val="22"/>
                <w:vertAlign w:val="subscript"/>
                <w:lang w:eastAsia="lt-LT"/>
              </w:rPr>
              <w:t>2</w:t>
            </w:r>
            <w:r>
              <w:rPr>
                <w:sz w:val="22"/>
                <w:szCs w:val="22"/>
                <w:lang w:eastAsia="lt-LT"/>
              </w:rPr>
              <w:t>–N</w:t>
            </w:r>
            <w:r>
              <w:rPr>
                <w:sz w:val="22"/>
                <w:szCs w:val="22"/>
                <w:vertAlign w:val="subscript"/>
                <w:lang w:eastAsia="lt-LT"/>
              </w:rPr>
              <w:t>3</w:t>
            </w:r>
          </w:p>
          <w:p>
            <w:pPr>
              <w:jc w:val="center"/>
              <w:rPr>
                <w:sz w:val="22"/>
                <w:szCs w:val="22"/>
                <w:lang w:eastAsia="lt-LT"/>
              </w:rPr>
            </w:pPr>
          </w:p>
        </w:tc>
        <w:tc>
          <w:tcPr>
            <w:tcW w:w="1702" w:type="dxa"/>
            <w:tcBorders>
              <w:top w:val="single" w:sz="4" w:space="0" w:color="auto"/>
              <w:left w:val="single" w:sz="4" w:space="0" w:color="auto"/>
              <w:bottom w:val="single" w:sz="4" w:space="0" w:color="auto"/>
              <w:right w:val="single" w:sz="4" w:space="0" w:color="auto"/>
            </w:tcBorders>
            <w:hideMark/>
          </w:tcPr>
          <w:p>
            <w:pPr>
              <w:rPr>
                <w:sz w:val="22"/>
                <w:szCs w:val="22"/>
                <w:lang w:eastAsia="lt-LT"/>
              </w:rPr>
            </w:pPr>
            <w:r>
              <w:rPr>
                <w:sz w:val="22"/>
                <w:szCs w:val="22"/>
                <w:lang w:eastAsia="lt-LT"/>
              </w:rPr>
              <w:t>transporto priemonė, skirta specialioms funkcijoms atlikti naudojant specialią įrangą</w:t>
            </w:r>
          </w:p>
        </w:tc>
        <w:tc>
          <w:tcPr>
            <w:tcW w:w="1702" w:type="dxa"/>
            <w:tcBorders>
              <w:top w:val="single" w:sz="4" w:space="0" w:color="auto"/>
              <w:left w:val="single" w:sz="4" w:space="0" w:color="auto"/>
              <w:bottom w:val="single" w:sz="4" w:space="0" w:color="auto"/>
              <w:right w:val="single" w:sz="4" w:space="0" w:color="auto"/>
            </w:tcBorders>
            <w:hideMark/>
          </w:tcPr>
          <w:p>
            <w:pPr>
              <w:jc w:val="center"/>
              <w:rPr>
                <w:sz w:val="22"/>
                <w:szCs w:val="22"/>
                <w:lang w:eastAsia="lt-LT"/>
              </w:rPr>
            </w:pPr>
            <w:r>
              <w:rPr>
                <w:sz w:val="22"/>
                <w:szCs w:val="22"/>
                <w:lang w:eastAsia="lt-LT"/>
              </w:rPr>
              <w:t>347</w:t>
            </w:r>
          </w:p>
        </w:tc>
        <w:tc>
          <w:tcPr>
            <w:tcW w:w="1702" w:type="dxa"/>
            <w:tcBorders>
              <w:top w:val="single" w:sz="4" w:space="0" w:color="auto"/>
              <w:left w:val="single" w:sz="4" w:space="0" w:color="auto"/>
              <w:bottom w:val="single" w:sz="4" w:space="0" w:color="auto"/>
              <w:right w:val="single" w:sz="4" w:space="0" w:color="auto"/>
            </w:tcBorders>
            <w:hideMark/>
          </w:tcPr>
          <w:p>
            <w:pPr>
              <w:jc w:val="center"/>
              <w:rPr>
                <w:sz w:val="22"/>
                <w:szCs w:val="22"/>
                <w:lang w:eastAsia="lt-LT"/>
              </w:rPr>
            </w:pPr>
            <w:r>
              <w:rPr>
                <w:sz w:val="22"/>
                <w:szCs w:val="22"/>
                <w:lang w:eastAsia="lt-LT"/>
              </w:rPr>
              <w:t>28</w:t>
            </w:r>
          </w:p>
        </w:tc>
        <w:tc>
          <w:tcPr>
            <w:tcW w:w="1702" w:type="dxa"/>
            <w:tcBorders>
              <w:top w:val="single" w:sz="4" w:space="0" w:color="auto"/>
              <w:left w:val="single" w:sz="4" w:space="0" w:color="auto"/>
              <w:bottom w:val="single" w:sz="4" w:space="0" w:color="auto"/>
              <w:right w:val="single" w:sz="4" w:space="0" w:color="auto"/>
            </w:tcBorders>
            <w:hideMark/>
          </w:tcPr>
          <w:p>
            <w:pPr>
              <w:jc w:val="center"/>
              <w:rPr>
                <w:sz w:val="22"/>
                <w:szCs w:val="22"/>
                <w:lang w:eastAsia="lt-LT"/>
              </w:rPr>
            </w:pPr>
            <w:r>
              <w:rPr>
                <w:sz w:val="22"/>
                <w:szCs w:val="22"/>
                <w:lang w:eastAsia="lt-LT"/>
              </w:rPr>
              <w:t>14</w:t>
            </w:r>
          </w:p>
        </w:tc>
        <w:tc>
          <w:tcPr>
            <w:tcW w:w="709" w:type="dxa"/>
            <w:tcBorders>
              <w:top w:val="single" w:sz="4" w:space="0" w:color="auto"/>
              <w:left w:val="single" w:sz="4" w:space="0" w:color="auto"/>
              <w:bottom w:val="single" w:sz="4" w:space="0" w:color="auto"/>
              <w:right w:val="single" w:sz="4" w:space="0" w:color="auto"/>
            </w:tcBorders>
            <w:hideMark/>
          </w:tcPr>
          <w:p>
            <w:pPr>
              <w:jc w:val="center"/>
            </w:pPr>
            <w:r>
              <w:rPr>
                <w:sz w:val="22"/>
                <w:szCs w:val="22"/>
                <w:lang w:eastAsia="lt-LT"/>
              </w:rPr>
              <w:t>6“.</w:t>
            </w:r>
          </w:p>
        </w:tc>
      </w:tr>
    </w:tbl>
    <w:p/>
    <w:p>
      <w:pPr>
        <w:tabs>
          <w:tab w:val="left" w:pos="851"/>
          <w:tab w:val="left" w:pos="993"/>
        </w:tabs>
        <w:ind w:firstLine="720"/>
        <w:jc w:val="both"/>
        <w:rPr>
          <w:szCs w:val="24"/>
          <w:lang w:eastAsia="lt-LT"/>
        </w:rPr>
      </w:pPr>
      <w:r>
        <w:rPr>
          <w:szCs w:val="24"/>
          <w:lang w:eastAsia="lt-LT"/>
        </w:rPr>
        <w:t>2.3</w:t>
      </w:r>
      <w:r>
        <w:rPr>
          <w:szCs w:val="24"/>
          <w:lang w:eastAsia="lt-LT"/>
        </w:rPr>
        <w:t>. Pakeisti 2 punktą ir jį išdėstyti taip:</w:t>
      </w:r>
    </w:p>
    <w:p>
      <w:pPr>
        <w:tabs>
          <w:tab w:val="left" w:pos="851"/>
          <w:tab w:val="left" w:pos="993"/>
        </w:tabs>
        <w:ind w:firstLine="720"/>
        <w:jc w:val="both"/>
        <w:rPr>
          <w:szCs w:val="24"/>
          <w:lang w:eastAsia="lt-LT"/>
        </w:rPr>
      </w:pPr>
      <w:r>
        <w:rPr>
          <w:szCs w:val="24"/>
          <w:lang w:eastAsia="lt-LT"/>
        </w:rPr>
        <w:t>„</w:t>
      </w:r>
      <w:r>
        <w:rPr>
          <w:szCs w:val="24"/>
          <w:lang w:eastAsia="lt-LT"/>
        </w:rPr>
        <w:t>2</w:t>
      </w:r>
      <w:r>
        <w:rPr>
          <w:szCs w:val="24"/>
          <w:lang w:eastAsia="lt-LT"/>
        </w:rPr>
        <w:t>. Transporto priemonės, pirmą kartą įregistruotos Europos Sąjungos valstybėje narėje ar Europos ekonominės erdvės valstybėje po 2006 m. spalio 1 d., atitinka EURO IV arba mažiau taršią emisijos klasę. Iki šios datos pagamintų ir įregistruotų Europos Sąjungos valstybėje narėje ar Europos ekonominės erdvės valstybėje ir trečiosiose šalyse įregistruotų transporto priemonių atitiktis EURO IV arba mažiau taršiai emisijos klasei nustatoma pagal gamintojo ar oficialaus jo atstovo išduotą sertifikatą (pažymą). Nepateikus tokio dokumento kontrolę vykdantiems pareigūnams, laikoma, kad transporto priemonė šios klasės neatitinka.“</w:t>
      </w:r>
    </w:p>
    <w:p>
      <w:pPr>
        <w:tabs>
          <w:tab w:val="left" w:pos="851"/>
          <w:tab w:val="left" w:pos="993"/>
        </w:tabs>
        <w:ind w:firstLine="720"/>
        <w:jc w:val="both"/>
        <w:rPr>
          <w:szCs w:val="24"/>
          <w:lang w:eastAsia="lt-LT"/>
        </w:rPr>
      </w:pPr>
      <w:r>
        <w:rPr>
          <w:szCs w:val="24"/>
          <w:lang w:eastAsia="lt-LT"/>
        </w:rPr>
        <w:t>2.4</w:t>
      </w:r>
      <w:r>
        <w:rPr>
          <w:szCs w:val="24"/>
          <w:lang w:eastAsia="lt-LT"/>
        </w:rPr>
        <w:t>. Pakeisti 4 punktą ir jį išdėstyti taip:</w:t>
      </w:r>
    </w:p>
    <w:p>
      <w:pPr>
        <w:ind w:firstLine="720"/>
        <w:jc w:val="both"/>
        <w:rPr>
          <w:lang w:eastAsia="lt-LT"/>
        </w:rPr>
      </w:pPr>
      <w:r>
        <w:rPr>
          <w:lang w:eastAsia="lt-LT"/>
        </w:rPr>
        <w:t>„</w:t>
      </w:r>
      <w:r>
        <w:rPr>
          <w:lang w:eastAsia="lt-LT"/>
        </w:rPr>
        <w:t>4</w:t>
      </w:r>
      <w:r>
        <w:rPr>
          <w:lang w:eastAsia="lt-LT"/>
        </w:rPr>
        <w:t xml:space="preserve">. Sumokėjus kelių naudotojo mokestį, </w:t>
      </w:r>
      <w:r>
        <w:t>Lietuvos automobilių kelių direkcijos prie Susisiekimo ministerijos (toliau – Lietuvos automobilių kelių direkcija)</w:t>
      </w:r>
      <w:r>
        <w:rPr>
          <w:szCs w:val="24"/>
          <w:lang w:eastAsia="lt-LT"/>
        </w:rPr>
        <w:t xml:space="preserve"> valdomoje Kelių naudotojo mokesčio sumokėjimo registravimo informacinėje sistemoje </w:t>
      </w:r>
      <w:r>
        <w:rPr>
          <w:lang w:eastAsia="lt-LT"/>
        </w:rPr>
        <w:t xml:space="preserve">suformuojamos elektroninės vinjetės, kurių formą, reikalavimus, platinimo ir naudojimo sąlygas ir tvarką nustato </w:t>
      </w:r>
      <w:r>
        <w:t>Lietuvos automobilių kelių direkcija</w:t>
      </w:r>
      <w:r>
        <w:rPr>
          <w:lang w:eastAsia="lt-LT"/>
        </w:rPr>
        <w:t>.“</w:t>
      </w:r>
    </w:p>
    <w:p>
      <w:pPr>
        <w:tabs>
          <w:tab w:val="left" w:pos="851"/>
          <w:tab w:val="left" w:pos="993"/>
        </w:tabs>
        <w:ind w:firstLine="720"/>
        <w:jc w:val="both"/>
        <w:rPr>
          <w:szCs w:val="24"/>
          <w:lang w:eastAsia="lt-LT"/>
        </w:rPr>
      </w:pPr>
      <w:r>
        <w:rPr>
          <w:szCs w:val="24"/>
          <w:lang w:eastAsia="lt-LT"/>
        </w:rPr>
        <w:t>2.5</w:t>
      </w:r>
      <w:r>
        <w:rPr>
          <w:szCs w:val="24"/>
          <w:lang w:eastAsia="lt-LT"/>
        </w:rPr>
        <w:t>. Pakeisti 5 punktą ir jį išdėstyti taip:</w:t>
      </w:r>
    </w:p>
    <w:p>
      <w:pPr>
        <w:tabs>
          <w:tab w:val="left" w:pos="1134"/>
          <w:tab w:val="left" w:pos="1276"/>
        </w:tabs>
        <w:ind w:firstLine="709"/>
        <w:jc w:val="both"/>
        <w:rPr>
          <w:strike/>
          <w:lang w:eastAsia="lt-LT"/>
        </w:rPr>
      </w:pPr>
      <w:r>
        <w:rPr>
          <w:lang w:eastAsia="lt-LT"/>
        </w:rPr>
        <w:t>„</w:t>
      </w:r>
      <w:r>
        <w:rPr>
          <w:lang w:eastAsia="lt-LT"/>
        </w:rPr>
        <w:t>5</w:t>
      </w:r>
      <w:r>
        <w:rPr>
          <w:lang w:eastAsia="lt-LT"/>
        </w:rPr>
        <w:t xml:space="preserve">. Sumokėti kelių naudotojo mokestį galima elektroninėms </w:t>
      </w:r>
      <w:r>
        <w:t xml:space="preserve">vinjetėms platinti skirtoje interneto svetainėje, </w:t>
      </w:r>
      <w:r>
        <w:rPr>
          <w:lang w:eastAsia="lt-LT"/>
        </w:rPr>
        <w:t xml:space="preserve">specialiais ženklais pažymėtose vietose arba naudojantis </w:t>
      </w:r>
      <w:r>
        <w:t>mobiliąja programa</w:t>
      </w:r>
      <w:r>
        <w:rPr>
          <w:lang w:eastAsia="lt-LT"/>
        </w:rPr>
        <w:t>.“</w:t>
      </w:r>
    </w:p>
    <w:p>
      <w:pPr>
        <w:tabs>
          <w:tab w:val="left" w:pos="851"/>
          <w:tab w:val="left" w:pos="993"/>
        </w:tabs>
        <w:ind w:firstLine="720"/>
        <w:jc w:val="both"/>
        <w:rPr>
          <w:szCs w:val="24"/>
          <w:lang w:eastAsia="lt-LT"/>
        </w:rPr>
      </w:pPr>
      <w:r>
        <w:rPr>
          <w:szCs w:val="24"/>
          <w:lang w:eastAsia="lt-LT"/>
        </w:rPr>
        <w:t>2.6</w:t>
      </w:r>
      <w:r>
        <w:rPr>
          <w:szCs w:val="24"/>
          <w:lang w:eastAsia="lt-LT"/>
        </w:rPr>
        <w:t xml:space="preserve">. Pripažinti netekusiu galios 8 punktą. </w:t>
      </w:r>
    </w:p>
    <w:p>
      <w:pPr>
        <w:tabs>
          <w:tab w:val="left" w:pos="851"/>
          <w:tab w:val="left" w:pos="993"/>
        </w:tabs>
        <w:ind w:firstLine="720"/>
        <w:jc w:val="both"/>
        <w:rPr>
          <w:szCs w:val="24"/>
          <w:lang w:eastAsia="lt-LT"/>
        </w:rPr>
      </w:pPr>
      <w:r>
        <w:rPr>
          <w:szCs w:val="24"/>
          <w:lang w:eastAsia="lt-LT"/>
        </w:rPr>
        <w:t>2.7</w:t>
      </w:r>
      <w:r>
        <w:rPr>
          <w:szCs w:val="24"/>
          <w:lang w:eastAsia="lt-LT"/>
        </w:rPr>
        <w:t>. Pakeisti 9 punktą ir jį išdėstyti taip:</w:t>
      </w:r>
    </w:p>
    <w:p>
      <w:pPr>
        <w:tabs>
          <w:tab w:val="left" w:pos="6237"/>
        </w:tabs>
        <w:ind w:firstLine="709"/>
        <w:jc w:val="both"/>
        <w:rPr>
          <w:szCs w:val="24"/>
          <w:lang w:eastAsia="lt-LT"/>
        </w:rPr>
      </w:pPr>
      <w:r>
        <w:rPr>
          <w:szCs w:val="24"/>
          <w:lang w:eastAsia="lt-LT"/>
        </w:rPr>
        <w:t>„</w:t>
      </w:r>
      <w:r>
        <w:rPr>
          <w:szCs w:val="24"/>
          <w:lang w:eastAsia="lt-LT"/>
        </w:rPr>
        <w:t>9</w:t>
      </w:r>
      <w:r>
        <w:rPr>
          <w:szCs w:val="24"/>
          <w:lang w:eastAsia="lt-LT"/>
        </w:rPr>
        <w:t>. Kelių naudotojo mokesčio dydis apskaičiuojamas pagal motorinės transporto priemonės registravimą patvirtinančiame dokumente nurodytą transporto priemonės kategoriją ir klasę, o jeigu transporto priemonės kategorija ir klasė nenurodyta, – pagal didžiausiąją leidžiamąją transporto priemonės masę ir (ar) sėdimųjų vietų skaičių. Transporto priemonių klasifikavimas ir kodai nurodyti Motorinių transporto priemonių ir jų priekabų kategorijų ir klasių pagal konstrukciją reikalavimuose, patvirtintuose Lietuvos transporto saugos administracijos direktoriaus.“</w:t>
      </w:r>
    </w:p>
    <w:p>
      <w:pPr>
        <w:tabs>
          <w:tab w:val="left" w:pos="851"/>
          <w:tab w:val="left" w:pos="993"/>
        </w:tabs>
        <w:ind w:firstLine="720"/>
        <w:jc w:val="both"/>
        <w:rPr>
          <w:b/>
          <w:szCs w:val="24"/>
          <w:lang w:eastAsia="lt-LT"/>
        </w:rPr>
      </w:pPr>
      <w:r>
        <w:rPr>
          <w:szCs w:val="24"/>
          <w:lang w:eastAsia="lt-LT"/>
        </w:rPr>
        <w:t>2.8</w:t>
      </w:r>
      <w:r>
        <w:rPr>
          <w:szCs w:val="24"/>
          <w:lang w:eastAsia="lt-LT"/>
        </w:rPr>
        <w:t>. Papildyti 12 punktu:</w:t>
      </w:r>
      <w:r>
        <w:rPr>
          <w:b/>
          <w:szCs w:val="24"/>
          <w:lang w:eastAsia="lt-LT"/>
        </w:rPr>
        <w:t xml:space="preserve"> </w:t>
      </w:r>
    </w:p>
    <w:p>
      <w:pPr>
        <w:tabs>
          <w:tab w:val="left" w:pos="851"/>
          <w:tab w:val="left" w:pos="993"/>
        </w:tabs>
        <w:ind w:firstLine="720"/>
        <w:jc w:val="both"/>
        <w:rPr>
          <w:szCs w:val="24"/>
          <w:lang w:eastAsia="lt-LT"/>
        </w:rPr>
      </w:pPr>
      <w:r>
        <w:rPr>
          <w:szCs w:val="24"/>
          <w:lang w:eastAsia="lt-LT"/>
        </w:rPr>
        <w:t>„</w:t>
      </w:r>
      <w:r>
        <w:rPr>
          <w:szCs w:val="24"/>
          <w:lang w:eastAsia="lt-LT"/>
        </w:rPr>
        <w:t>12</w:t>
      </w:r>
      <w:r>
        <w:rPr>
          <w:szCs w:val="24"/>
          <w:lang w:eastAsia="lt-LT"/>
        </w:rPr>
        <w:t>. Jeigu transporto priemonė išregistruojama iš Lietuvos Respublikos kelių transporto priemonių registro, grąžinamas tik už metines elektronines vinjetes sumokėtas kelių naudotojo mokestis.“</w:t>
      </w:r>
    </w:p>
    <w:p>
      <w:pPr>
        <w:tabs>
          <w:tab w:val="left" w:pos="851"/>
          <w:tab w:val="left" w:pos="993"/>
        </w:tabs>
        <w:ind w:firstLine="720"/>
        <w:jc w:val="both"/>
        <w:rPr>
          <w:szCs w:val="24"/>
          <w:lang w:eastAsia="lt-LT"/>
        </w:rPr>
      </w:pPr>
      <w:r>
        <w:rPr>
          <w:szCs w:val="24"/>
          <w:lang w:eastAsia="lt-LT"/>
        </w:rPr>
        <w:t>2.9</w:t>
      </w:r>
      <w:r>
        <w:rPr>
          <w:szCs w:val="24"/>
          <w:lang w:eastAsia="lt-LT"/>
        </w:rPr>
        <w:t>. Papildyti 13 punktu:</w:t>
      </w:r>
    </w:p>
    <w:p>
      <w:pPr>
        <w:tabs>
          <w:tab w:val="left" w:pos="6237"/>
        </w:tabs>
        <w:ind w:firstLine="709"/>
        <w:jc w:val="both"/>
        <w:rPr>
          <w:szCs w:val="24"/>
          <w:lang w:eastAsia="lt-LT"/>
        </w:rPr>
      </w:pPr>
      <w:r>
        <w:rPr>
          <w:szCs w:val="24"/>
          <w:lang w:eastAsia="lt-LT"/>
        </w:rPr>
        <w:t>„</w:t>
      </w:r>
      <w:r>
        <w:rPr>
          <w:szCs w:val="24"/>
          <w:lang w:eastAsia="lt-LT"/>
        </w:rPr>
        <w:t>13</w:t>
      </w:r>
      <w:r>
        <w:rPr>
          <w:szCs w:val="24"/>
          <w:lang w:eastAsia="lt-LT"/>
        </w:rPr>
        <w:t>. Kelių naudotojo mokesčio grąžintina suma apskaičiuojama pagal formulę:</w:t>
      </w:r>
    </w:p>
    <w:p>
      <w:pPr>
        <w:tabs>
          <w:tab w:val="left" w:pos="6237"/>
        </w:tabs>
        <w:ind w:firstLine="709"/>
        <w:jc w:val="center"/>
        <w:rPr>
          <w:szCs w:val="24"/>
          <w:lang w:eastAsia="lt-LT"/>
        </w:rPr>
      </w:pPr>
      <m:oMath>
        <m:r>
          <w:rPr>
            <w:rFonts w:ascii="Cambria Math" w:hAnsi="Cambria Math"/>
            <w:szCs w:val="24"/>
            <w:lang w:eastAsia="lt-LT"/>
          </w:rPr>
          <m:t>G=</m:t>
        </m:r>
        <m:f>
          <m:fPr>
            <m:ctrlPr>
              <w:rPr>
                <w:rFonts w:ascii="Cambria Math" w:hAnsi="Cambria Math"/>
                <w:i/>
                <w:szCs w:val="24"/>
                <w:lang w:eastAsia="lt-LT"/>
              </w:rPr>
            </m:ctrlPr>
          </m:fPr>
          <m:num>
            <m:r>
              <w:rPr>
                <w:rFonts w:ascii="Cambria Math" w:hAnsi="Cambria Math"/>
                <w:szCs w:val="24"/>
                <w:lang w:eastAsia="lt-LT"/>
              </w:rPr>
              <m:t>M</m:t>
            </m:r>
          </m:num>
          <m:den>
            <m:r>
              <w:rPr>
                <w:rFonts w:ascii="Cambria Math" w:hAnsi="Cambria Math"/>
                <w:szCs w:val="24"/>
                <w:lang w:eastAsia="lt-LT"/>
              </w:rPr>
              <m:t>12</m:t>
            </m:r>
          </m:den>
        </m:f>
        <m:r>
          <w:rPr>
            <w:rFonts w:ascii="Cambria Math" w:hAnsi="Cambria Math"/>
            <w:szCs w:val="24"/>
            <w:lang w:eastAsia="lt-LT"/>
          </w:rPr>
          <m:t>×L</m:t>
        </m:r>
      </m:oMath>
      <w:r>
        <w:rPr>
          <w:szCs w:val="24"/>
          <w:lang w:eastAsia="lt-LT"/>
        </w:rPr>
        <w:t>, kur</w:t>
      </w:r>
    </w:p>
    <w:p>
      <w:pPr>
        <w:tabs>
          <w:tab w:val="left" w:pos="6237"/>
        </w:tabs>
        <w:ind w:firstLine="709"/>
        <w:jc w:val="both"/>
        <w:rPr>
          <w:szCs w:val="24"/>
          <w:lang w:eastAsia="lt-LT"/>
        </w:rPr>
      </w:pPr>
      <w:r>
        <w:rPr>
          <w:szCs w:val="24"/>
          <w:lang w:eastAsia="lt-LT"/>
        </w:rPr>
        <w:t xml:space="preserve">G – grąžintina suma; </w:t>
      </w:r>
    </w:p>
    <w:p>
      <w:pPr>
        <w:tabs>
          <w:tab w:val="left" w:pos="6237"/>
        </w:tabs>
        <w:ind w:firstLine="709"/>
        <w:jc w:val="both"/>
        <w:rPr>
          <w:szCs w:val="24"/>
          <w:lang w:eastAsia="lt-LT"/>
        </w:rPr>
      </w:pPr>
      <w:r>
        <w:rPr>
          <w:szCs w:val="24"/>
          <w:lang w:eastAsia="lt-LT"/>
        </w:rPr>
        <w:t>M – metinės vinjetės kaina;</w:t>
      </w:r>
    </w:p>
    <w:p>
      <w:pPr>
        <w:tabs>
          <w:tab w:val="left" w:pos="6237"/>
        </w:tabs>
        <w:ind w:firstLine="709"/>
        <w:jc w:val="both"/>
        <w:rPr>
          <w:szCs w:val="24"/>
          <w:lang w:eastAsia="lt-LT"/>
        </w:rPr>
      </w:pPr>
      <w:r>
        <w:rPr>
          <w:szCs w:val="24"/>
          <w:lang w:eastAsia="lt-LT"/>
        </w:rPr>
        <w:t>L – iki vinjetės galiojimo pabaigos likęs mėnesių skaičius.“</w:t>
      </w:r>
    </w:p>
    <w:p>
      <w:pPr>
        <w:tabs>
          <w:tab w:val="left" w:pos="851"/>
          <w:tab w:val="left" w:pos="993"/>
        </w:tabs>
        <w:ind w:firstLine="720"/>
        <w:jc w:val="both"/>
        <w:rPr>
          <w:szCs w:val="24"/>
          <w:lang w:eastAsia="lt-LT"/>
        </w:rPr>
      </w:pPr>
      <w:r>
        <w:rPr>
          <w:szCs w:val="24"/>
          <w:lang w:eastAsia="lt-LT"/>
        </w:rPr>
        <w:t>2.10</w:t>
      </w:r>
      <w:r>
        <w:rPr>
          <w:szCs w:val="24"/>
          <w:lang w:eastAsia="lt-LT"/>
        </w:rPr>
        <w:t>. Papildyti 14 punktu:</w:t>
      </w:r>
    </w:p>
    <w:p>
      <w:pPr>
        <w:tabs>
          <w:tab w:val="left" w:pos="6237"/>
        </w:tabs>
        <w:ind w:firstLine="709"/>
        <w:jc w:val="both"/>
        <w:rPr>
          <w:szCs w:val="24"/>
          <w:lang w:eastAsia="lt-LT"/>
        </w:rPr>
      </w:pPr>
      <w:r>
        <w:rPr>
          <w:szCs w:val="24"/>
          <w:lang w:eastAsia="lt-LT"/>
        </w:rPr>
        <w:t>„</w:t>
      </w:r>
      <w:r>
        <w:rPr>
          <w:szCs w:val="24"/>
          <w:lang w:eastAsia="lt-LT"/>
        </w:rPr>
        <w:t>14</w:t>
      </w:r>
      <w:r>
        <w:rPr>
          <w:szCs w:val="24"/>
          <w:lang w:eastAsia="lt-LT"/>
        </w:rPr>
        <w:t>. Kelių naudotojo mokesčio grąžintiną sumą transporto priemonės valdytojo prašymu apskaičiuoja Lietuvos automobilių kelių direkcija ir išduoda transporto priemonės valdytojui pažymą, kurioje nurodoma grąžintina suma ir jos grąžinimo priežastys. Pažymoje nurodytą grąžintiną kelių naudotojo mokesčio sumą pagal transporto priemonės valdytojo rašytinį prašymą Lietuvos Respublikos mokesčių administravimo įstatymo nustatyta tvarka grąžina Valstybinė mokesčių inspekcija prie Lietuvos Respublikos finansų ministerijos, į kurios pajamų surenkamąsias sąskaitas sumokėtas kelių naudotojo mokestis.“</w:t>
      </w:r>
    </w:p>
    <w:p>
      <w:pPr>
        <w:tabs>
          <w:tab w:val="left" w:pos="6237"/>
        </w:tabs>
        <w:ind w:firstLine="709"/>
        <w:jc w:val="both"/>
        <w:rPr>
          <w:szCs w:val="24"/>
          <w:lang w:eastAsia="lt-LT"/>
        </w:rPr>
      </w:pPr>
      <w:r>
        <w:rPr>
          <w:szCs w:val="24"/>
          <w:lang w:eastAsia="lt-LT"/>
        </w:rPr>
        <w:t>3</w:t>
      </w:r>
      <w:r>
        <w:rPr>
          <w:szCs w:val="24"/>
          <w:lang w:eastAsia="lt-LT"/>
        </w:rPr>
        <w:t>. Pakeisti nurodytu nutarimu patvirtintą Kelių priežiūros ir plėtros programos finansavimo lėšų naudojimo tvarkos aprašą: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Cs w:val="24"/>
          <w:lang w:eastAsia="lt-LT"/>
        </w:rPr>
      </w:pPr>
      <w:r>
        <w:rPr>
          <w:szCs w:val="24"/>
          <w:lang w:eastAsia="lt-LT"/>
        </w:rPr>
        <w:t>3.1</w:t>
      </w:r>
      <w:r>
        <w:rPr>
          <w:szCs w:val="24"/>
          <w:lang w:eastAsia="lt-LT"/>
        </w:rPr>
        <w:t>. Pakeisti 3 punktą ir jį išdėstyti taip: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Cs w:val="24"/>
          <w:lang w:eastAsia="lt-LT"/>
        </w:rPr>
      </w:pPr>
      <w:r>
        <w:rPr>
          <w:szCs w:val="24"/>
          <w:lang w:eastAsia="lt-LT"/>
        </w:rPr>
        <w:t>„</w:t>
      </w:r>
      <w:r>
        <w:rPr>
          <w:szCs w:val="24"/>
          <w:lang w:eastAsia="lt-LT"/>
        </w:rPr>
        <w:t>3</w:t>
      </w:r>
      <w:r>
        <w:rPr>
          <w:szCs w:val="24"/>
          <w:lang w:eastAsia="lt-LT"/>
        </w:rPr>
        <w:t>. Lietuvos Respublikos susisiekimo ministerija (toliau – Susisiekimo ministerija) kasmet, per mėnesį po to, kai patvirtinamas Lietuvos Respublikos valstybės biudžetas, pateikia Lietuvos Respublikos Vyriausybei ateinančių metų Programos finansavimo lėšų naudojimo sąmatos projektą, kuriame numatyta, kad 65 procentai Programos finansavimo lėšų naudojama valstybinės reikšmės keliams, perkėlimo keltais per Klaipėdos valstybinio jūrų uosto akvatoriją į Kuršių neriją ir iš Kuršių nerijos bilieto kainai kompensuoti, taip pat gyventojų ir jų lengvųjų automobilių neatlygintino perkėlimo užlietu krašto kelio Šilutė–Rusnė ruožu sąnaudoms kompensuoti. Metinėje Programos finansavimo</w:t>
      </w:r>
      <w:r>
        <w:rPr>
          <w:b/>
          <w:szCs w:val="24"/>
          <w:lang w:eastAsia="lt-LT"/>
        </w:rPr>
        <w:t xml:space="preserve"> </w:t>
      </w:r>
      <w:r>
        <w:rPr>
          <w:szCs w:val="24"/>
          <w:lang w:eastAsia="lt-LT"/>
        </w:rPr>
        <w:t>lėšų naudojimo sąmatoje numatomas 5 procentų Programos finansavimo lėšų rezervas valstybės reikmėms, susijusioms su keliais, finansuoti. Šio rezervo lėšos skiriamos</w:t>
      </w:r>
      <w:r>
        <w:rPr>
          <w:b/>
          <w:szCs w:val="24"/>
          <w:lang w:eastAsia="lt-LT"/>
        </w:rPr>
        <w:t xml:space="preserve"> </w:t>
      </w:r>
      <w:r>
        <w:rPr>
          <w:szCs w:val="24"/>
          <w:lang w:eastAsia="lt-LT"/>
        </w:rPr>
        <w:t>Lietuvos Respublikos Vyriausybės nutarimu, kai stokojama lėšų pradėtiems darbams užbaigti, taip pat nenumatytų kelių tinklo plėtojimo, rekonstravimo ir funkcionavimo darbų finansavimui užtikrinti. Valstybės institucijos ir savivaldybės prašymus skirti rezervo lėšų teikia Lietuvos automobilių kelių direkcijai, kuri, įvertinusi šiuos prašymus, sudaro valstybinės reikšmės ir vietinės reikšmės kelių (gatvių) objektų prioritetų sąrašą (toliau – sąrašas) ir pateikia Susisiekimo ministerijai. Susisiekimo ministerija parengia Lietuvos Respublikos Vyriausybės nutarimo dėl P</w:t>
      </w:r>
      <w:r>
        <w:t xml:space="preserve">rogramos finansavimo lėšų rezervo valstybės reikmėms, susijusioms su keliais, finansuoti paskirstymo </w:t>
      </w:r>
      <w:r>
        <w:rPr>
          <w:szCs w:val="24"/>
          <w:lang w:eastAsia="lt-LT"/>
        </w:rPr>
        <w:t>pagal sąrašą projektą.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Courier New" w:hAnsi="Courier New" w:cs="Courier New"/>
          <w:sz w:val="20"/>
          <w:lang w:eastAsia="lt-LT"/>
        </w:rPr>
      </w:pPr>
      <w:r>
        <w:rPr>
          <w:szCs w:val="24"/>
          <w:lang w:eastAsia="lt-LT"/>
        </w:rPr>
        <w:t xml:space="preserve">Metinėje Programos finansavimo lėšų naudojimo sąmatoje turi būti numatoma skirti valstybei ir savivaldybėms 30 procentų Programos finansavimo lėšų vietinės reikšmės keliams (gatvėms) tiesti, taisyti (remontuoti), prižiūrėti ir saugaus eismo sąlygoms užtikrinti. Metinėje Programos finansavimo lėšų naudojimo sąmatoje numatoma Programos finansavimo lėšų dalis, skirta skoloms (jeigu jų yra) už praėjusiais finansiniais metais atliktus darbus, kurių vertė neviršijo praėjusiais finansiniais metais planuotų asignavimų, sumokėti. Programos finansavimo  lėšų  naudojimo</w:t>
      </w:r>
      <w:r>
        <w:rPr>
          <w:b/>
          <w:szCs w:val="24"/>
          <w:lang w:eastAsia="lt-LT"/>
        </w:rPr>
        <w:t xml:space="preserve"> </w:t>
      </w:r>
      <w:r>
        <w:rPr>
          <w:szCs w:val="24"/>
          <w:lang w:eastAsia="lt-LT"/>
        </w:rPr>
        <w:t>sąmatą įgyvendina Lietuvos automobilių kelių direkcija.“</w:t>
      </w:r>
    </w:p>
    <w:p>
      <w:pPr>
        <w:tabs>
          <w:tab w:val="left" w:pos="6237"/>
        </w:tabs>
        <w:ind w:firstLine="709"/>
        <w:jc w:val="both"/>
        <w:rPr>
          <w:szCs w:val="24"/>
          <w:lang w:eastAsia="lt-LT"/>
        </w:rPr>
      </w:pPr>
      <w:r>
        <w:rPr>
          <w:szCs w:val="24"/>
          <w:lang w:eastAsia="lt-LT"/>
        </w:rPr>
        <w:t>3.2</w:t>
      </w:r>
      <w:r>
        <w:rPr>
          <w:szCs w:val="24"/>
          <w:lang w:eastAsia="lt-LT"/>
        </w:rPr>
        <w:t>. Pakeisti 6.1 papunktį ir jį išdėstyti taip:</w:t>
      </w:r>
    </w:p>
    <w:p>
      <w:pPr>
        <w:tabs>
          <w:tab w:val="left" w:pos="6237"/>
        </w:tabs>
        <w:ind w:firstLine="709"/>
        <w:jc w:val="both"/>
        <w:rPr>
          <w:szCs w:val="24"/>
          <w:lang w:eastAsia="lt-LT"/>
        </w:rPr>
      </w:pPr>
      <w:r>
        <w:rPr>
          <w:szCs w:val="24"/>
          <w:lang w:eastAsia="lt-LT"/>
        </w:rPr>
        <w:t>„</w:t>
      </w:r>
      <w:r>
        <w:rPr>
          <w:szCs w:val="24"/>
          <w:lang w:eastAsia="lt-LT"/>
        </w:rPr>
        <w:t>6.1</w:t>
      </w:r>
      <w:r>
        <w:rPr>
          <w:szCs w:val="24"/>
          <w:lang w:eastAsia="lt-LT"/>
        </w:rPr>
        <w:t>. valstybinių miškų, valstybės saugomų teritorijų, pasienio, taip pat vietinės reikšmės keliams, kurie patenka į Lietuvos Respublikos krašto apsaugos ministerijos nurodytus priimančiosios šalies paramos poreikiams būtinus maršrutus – 4 procentai;“.</w:t>
      </w:r>
    </w:p>
    <w:p>
      <w:pPr>
        <w:tabs>
          <w:tab w:val="left" w:pos="6237"/>
        </w:tabs>
        <w:ind w:firstLine="709"/>
        <w:jc w:val="both"/>
        <w:rPr>
          <w:szCs w:val="24"/>
          <w:lang w:eastAsia="lt-LT"/>
        </w:rPr>
      </w:pPr>
      <w:r>
        <w:rPr>
          <w:szCs w:val="24"/>
          <w:lang w:eastAsia="lt-LT"/>
        </w:rPr>
        <w:t>3.3</w:t>
      </w:r>
      <w:r>
        <w:rPr>
          <w:szCs w:val="24"/>
          <w:lang w:eastAsia="lt-LT"/>
        </w:rPr>
        <w:t>. Pakeisti 6.2 papunktį ir jį išdėstyti taip:</w:t>
      </w:r>
    </w:p>
    <w:p>
      <w:pPr>
        <w:tabs>
          <w:tab w:val="left" w:pos="6237"/>
        </w:tabs>
        <w:ind w:firstLine="709"/>
        <w:jc w:val="both"/>
        <w:rPr>
          <w:szCs w:val="24"/>
          <w:lang w:eastAsia="lt-LT"/>
        </w:rPr>
      </w:pPr>
      <w:r>
        <w:rPr>
          <w:szCs w:val="24"/>
          <w:lang w:eastAsia="lt-LT"/>
        </w:rPr>
        <w:t>„</w:t>
      </w:r>
      <w:r>
        <w:rPr>
          <w:szCs w:val="24"/>
          <w:lang w:eastAsia="lt-LT"/>
        </w:rPr>
        <w:t>6.2</w:t>
      </w:r>
      <w:r>
        <w:rPr>
          <w:szCs w:val="24"/>
          <w:lang w:eastAsia="lt-LT"/>
        </w:rPr>
        <w:t>. vietinės reikšmės kelių (gatvių), kurių sąrašą kasmet sudaro ir raštu suderinęs su vidaus reikalų ministru tvirtina susisiekimo ministras, tiksliniam finansavimui, t. y. turtui įsigyti – 20 procentų, kurios paskirstomos</w:t>
      </w:r>
      <w:r>
        <w:rPr>
          <w:b/>
          <w:szCs w:val="24"/>
          <w:lang w:eastAsia="lt-LT"/>
        </w:rPr>
        <w:t xml:space="preserve"> </w:t>
      </w:r>
      <w:r>
        <w:rPr>
          <w:szCs w:val="24"/>
          <w:lang w:eastAsia="lt-LT"/>
        </w:rPr>
        <w:t>taip:“.</w:t>
      </w:r>
    </w:p>
    <w:p>
      <w:pPr>
        <w:tabs>
          <w:tab w:val="left" w:pos="6237"/>
        </w:tabs>
        <w:ind w:firstLine="709"/>
        <w:jc w:val="both"/>
        <w:rPr>
          <w:szCs w:val="24"/>
          <w:lang w:eastAsia="lt-LT"/>
        </w:rPr>
      </w:pPr>
      <w:r>
        <w:rPr>
          <w:szCs w:val="24"/>
          <w:lang w:eastAsia="lt-LT"/>
        </w:rPr>
        <w:t>3.4</w:t>
      </w:r>
      <w:r>
        <w:rPr>
          <w:szCs w:val="24"/>
          <w:lang w:eastAsia="lt-LT"/>
        </w:rPr>
        <w:t>. Pakeisti 6.2.1 papunktį ir jį išdėstyti taip:</w:t>
      </w:r>
    </w:p>
    <w:p>
      <w:pPr>
        <w:tabs>
          <w:tab w:val="left" w:pos="6237"/>
        </w:tabs>
        <w:ind w:firstLine="709"/>
        <w:jc w:val="both"/>
        <w:rPr>
          <w:szCs w:val="24"/>
          <w:lang w:eastAsia="lt-LT"/>
        </w:rPr>
      </w:pPr>
      <w:r>
        <w:rPr>
          <w:szCs w:val="24"/>
          <w:lang w:eastAsia="lt-LT"/>
        </w:rPr>
        <w:t>„</w:t>
      </w:r>
      <w:r>
        <w:rPr>
          <w:szCs w:val="24"/>
          <w:lang w:eastAsia="lt-LT"/>
        </w:rPr>
        <w:t>6.2.1</w:t>
      </w:r>
      <w:r>
        <w:rPr>
          <w:szCs w:val="24"/>
          <w:lang w:eastAsia="lt-LT"/>
        </w:rPr>
        <w:t>. pagal savivaldybių kelių reikmėms finansuoti patvirtintas programas ir nenumatytais vietinės reikšmės kelių (gatvių) tinklo plėtojimo, rekonstravimo ir funkcionavimo užtikrinimo atvejais – 90 procentų; lėšos apskaičiuojamos kiekvienai savivaldybei proporcingai vadovaujantis Aprašo 6.3 papunkčio nuostatomis; savivaldybių, kurių Programos finansavimo lėšų poreikis yra mažesnis už apskaičiuotą Programos finansavimo lėšų sumą, Programos finansavimo lėšų likutis dar kartą paskirstomas kitoms savivaldybėms šiame papunktyje nurodyta tvarka;“.</w:t>
      </w:r>
    </w:p>
    <w:p>
      <w:pPr>
        <w:tabs>
          <w:tab w:val="left" w:pos="6237"/>
        </w:tabs>
        <w:ind w:firstLine="709"/>
        <w:jc w:val="both"/>
        <w:rPr>
          <w:szCs w:val="24"/>
          <w:lang w:eastAsia="lt-LT"/>
        </w:rPr>
      </w:pPr>
      <w:r>
        <w:rPr>
          <w:szCs w:val="24"/>
          <w:lang w:eastAsia="lt-LT"/>
        </w:rPr>
        <w:t>3.5</w:t>
      </w:r>
      <w:r>
        <w:rPr>
          <w:szCs w:val="24"/>
          <w:lang w:eastAsia="lt-LT"/>
        </w:rPr>
        <w:t>. Pakeisti 7 punktą ir jį išdėstyti taip:</w:t>
      </w:r>
    </w:p>
    <w:p>
      <w:pPr>
        <w:tabs>
          <w:tab w:val="left" w:pos="6237"/>
        </w:tabs>
        <w:ind w:firstLine="709"/>
        <w:jc w:val="both"/>
        <w:rPr>
          <w:szCs w:val="24"/>
          <w:lang w:eastAsia="lt-LT"/>
        </w:rPr>
      </w:pPr>
      <w:r>
        <w:rPr>
          <w:szCs w:val="24"/>
          <w:lang w:eastAsia="lt-LT"/>
        </w:rPr>
        <w:t>„</w:t>
      </w:r>
      <w:r>
        <w:rPr>
          <w:szCs w:val="24"/>
          <w:lang w:eastAsia="lt-LT"/>
        </w:rPr>
        <w:t>7</w:t>
      </w:r>
      <w:r>
        <w:rPr>
          <w:szCs w:val="24"/>
          <w:lang w:eastAsia="lt-LT"/>
        </w:rPr>
        <w:t>. Ne mažiau kaip 50 procentų pagal Aprašo 6.3 papunktį skirtų lėšų turi būti naudojama turtui įsigyti – vietinės reikšmės keliams (gatvėms) tiesti, rekonstruoti ir kapitališkai remontuoti; ne mažiau kaip 5 procentai pagal Aprašo 6.3 papunktį skirtų lėšų turi būti naudojama saugaus eismo priemonėms vietinės reikšmės keliuose (gatvėse) finansuoti.“</w:t>
      </w:r>
    </w:p>
    <w:p>
      <w:pPr>
        <w:ind w:right="-1" w:firstLine="709"/>
        <w:jc w:val="both"/>
        <w:rPr>
          <w:szCs w:val="24"/>
          <w:lang w:eastAsia="lt-LT"/>
        </w:rPr>
      </w:pPr>
      <w:r>
        <w:rPr>
          <w:szCs w:val="24"/>
          <w:lang w:eastAsia="lt-LT"/>
        </w:rPr>
        <w:t>3.6</w:t>
      </w:r>
      <w:r>
        <w:rPr>
          <w:szCs w:val="24"/>
          <w:lang w:eastAsia="lt-LT"/>
        </w:rPr>
        <w:t>. Pakeisti 8.1 papunktį ir jį išdėstyti taip:</w:t>
      </w:r>
    </w:p>
    <w:p>
      <w:pPr>
        <w:ind w:right="-1" w:firstLine="709"/>
        <w:jc w:val="both"/>
        <w:rPr>
          <w:szCs w:val="24"/>
          <w:lang w:eastAsia="lt-LT"/>
        </w:rPr>
      </w:pPr>
      <w:r>
        <w:rPr>
          <w:szCs w:val="24"/>
          <w:lang w:eastAsia="lt-LT"/>
        </w:rPr>
        <w:t>„</w:t>
      </w:r>
      <w:r>
        <w:rPr>
          <w:szCs w:val="24"/>
          <w:lang w:eastAsia="lt-LT"/>
        </w:rPr>
        <w:t>8.1</w:t>
      </w:r>
      <w:r>
        <w:rPr>
          <w:szCs w:val="24"/>
          <w:lang w:eastAsia="lt-LT"/>
        </w:rPr>
        <w:t>. Už lėšų naudojimą, projektų, sąmatų ir techninių dokumentų rengimą, viešųjų pirkimų konkursų organizavimą, darbų kokybės kontrolę, techninę priežiūrą, statybos užbaigimo procedūrų atlikimą atsako savivaldybės, valstybinių miškų, valstybės saugomų teritorijų</w:t>
      </w:r>
      <w:r>
        <w:rPr>
          <w:b/>
          <w:szCs w:val="24"/>
          <w:lang w:eastAsia="lt-LT"/>
        </w:rPr>
        <w:t>,</w:t>
      </w:r>
      <w:r>
        <w:rPr>
          <w:szCs w:val="24"/>
          <w:lang w:eastAsia="lt-LT"/>
        </w:rPr>
        <w:t xml:space="preserve"> pasienio ir patenkančiuose į Lietuvos Respublikos krašto apsaugos ministerijos nurodytus priimančiosios šalies paramos poreikiams būtinus maršrutus keliuose – šių kelių valdytojai ir (ar) atitinkamų institucijų vadovai.“</w:t>
      </w:r>
    </w:p>
    <w:p>
      <w:pPr>
        <w:ind w:right="-1" w:firstLine="709"/>
        <w:jc w:val="both"/>
        <w:rPr>
          <w:szCs w:val="24"/>
          <w:lang w:eastAsia="lt-LT"/>
        </w:rPr>
      </w:pPr>
      <w:r>
        <w:rPr>
          <w:szCs w:val="24"/>
          <w:lang w:eastAsia="lt-LT"/>
        </w:rPr>
        <w:t>3.7</w:t>
      </w:r>
      <w:r>
        <w:rPr>
          <w:szCs w:val="24"/>
          <w:lang w:eastAsia="lt-LT"/>
        </w:rPr>
        <w:t>. Pakeisti 8.4 papunktį ir jį išdėstyti taip:</w:t>
      </w:r>
    </w:p>
    <w:p>
      <w:pPr>
        <w:ind w:right="-1" w:firstLine="709"/>
        <w:jc w:val="both"/>
        <w:rPr>
          <w:szCs w:val="24"/>
          <w:lang w:eastAsia="lt-LT"/>
        </w:rPr>
      </w:pPr>
      <w:r>
        <w:rPr>
          <w:szCs w:val="24"/>
          <w:lang w:eastAsia="lt-LT"/>
        </w:rPr>
        <w:t>„</w:t>
      </w:r>
      <w:r>
        <w:rPr>
          <w:szCs w:val="24"/>
          <w:lang w:eastAsia="lt-LT"/>
        </w:rPr>
        <w:t>8.4</w:t>
      </w:r>
      <w:r>
        <w:rPr>
          <w:szCs w:val="24"/>
          <w:lang w:eastAsia="lt-LT"/>
        </w:rPr>
        <w:t>. Už Programos finansavimo lėšų rezervo valstybės reikmėms, susijusioms su keliais, finansuoti lėšomis finansuojamų objektų projektų, sąmatų ir techninių dokumentų parengimą, projektų ekspertizę, viešųjų pirkimų konkursų organizavimą, darbų kokybės kontrolę, techninę priežiūrą, atliktų darbų priėmimą, statybos užbaigimo procedūrų atlikimą ir lėšų tikslinį naudojimą, atsiskaitymą su rangovu atsako</w:t>
      </w:r>
      <w:r>
        <w:rPr>
          <w:b/>
          <w:szCs w:val="24"/>
          <w:lang w:eastAsia="lt-LT"/>
        </w:rPr>
        <w:t xml:space="preserve"> </w:t>
      </w:r>
      <w:r>
        <w:rPr>
          <w:szCs w:val="24"/>
          <w:lang w:eastAsia="lt-LT"/>
        </w:rPr>
        <w:t>valstybės institucijos ir savivaldybės, kurioms skirtos Programos finansavimo lėšų rezervo valstybės reikmėms, susijusioms su keliais, finansuoti lėšos.“</w:t>
      </w:r>
    </w:p>
    <w:p>
      <w:pPr>
        <w:ind w:right="-1" w:firstLine="709"/>
        <w:jc w:val="both"/>
        <w:rPr>
          <w:szCs w:val="24"/>
          <w:lang w:eastAsia="lt-LT"/>
        </w:rPr>
      </w:pPr>
      <w:r>
        <w:rPr>
          <w:szCs w:val="24"/>
        </w:rPr>
        <w:t>3.8</w:t>
      </w:r>
      <w:r>
        <w:rPr>
          <w:szCs w:val="24"/>
        </w:rPr>
        <w:t xml:space="preserve">. </w:t>
      </w:r>
      <w:r>
        <w:rPr>
          <w:szCs w:val="24"/>
          <w:lang w:eastAsia="lt-LT"/>
        </w:rPr>
        <w:t>Pakeisti 9 punktą ir jį išdėstyti taip:</w:t>
      </w:r>
    </w:p>
    <w:p>
      <w:pPr>
        <w:ind w:right="-1" w:firstLine="709"/>
        <w:jc w:val="both"/>
        <w:rPr>
          <w:szCs w:val="24"/>
          <w:lang w:eastAsia="lt-LT"/>
        </w:rPr>
      </w:pPr>
      <w:r>
        <w:rPr>
          <w:szCs w:val="24"/>
          <w:lang w:eastAsia="lt-LT"/>
        </w:rPr>
        <w:t>„</w:t>
      </w:r>
      <w:r>
        <w:rPr>
          <w:szCs w:val="24"/>
          <w:lang w:eastAsia="lt-LT"/>
        </w:rPr>
        <w:t>9</w:t>
      </w:r>
      <w:r>
        <w:rPr>
          <w:szCs w:val="24"/>
          <w:lang w:eastAsia="lt-LT"/>
        </w:rPr>
        <w:t xml:space="preserve">. Valstybės institucijų ir savivaldybių prašymai skirti Programos finansavimo lėšų rezervo  valstybės reikmėms, susijusioms su keliais, finansuoti lėšų, taip pat Aprašo 6.2 papunktyje nurodytų lėšų teikiami ir vertinami Aprašo ir susisiekimo ministro nustatyta tvarka.“</w:t>
      </w:r>
    </w:p>
    <w:p>
      <w:pPr>
        <w:ind w:right="-1" w:firstLine="709"/>
        <w:jc w:val="both"/>
        <w:rPr>
          <w:strike/>
          <w:szCs w:val="24"/>
          <w:lang w:eastAsia="lt-LT"/>
        </w:rPr>
      </w:pPr>
      <w:r>
        <w:rPr>
          <w:szCs w:val="24"/>
          <w:lang w:eastAsia="lt-LT"/>
        </w:rPr>
        <w:t>3.9</w:t>
      </w:r>
      <w:r>
        <w:rPr>
          <w:szCs w:val="24"/>
          <w:lang w:eastAsia="lt-LT"/>
        </w:rPr>
        <w:t>. Papildyti 9</w:t>
      </w:r>
      <w:r>
        <w:rPr>
          <w:szCs w:val="24"/>
          <w:vertAlign w:val="superscript"/>
          <w:lang w:eastAsia="lt-LT"/>
        </w:rPr>
        <w:t>1</w:t>
      </w:r>
      <w:r>
        <w:rPr>
          <w:szCs w:val="24"/>
          <w:lang w:eastAsia="lt-LT"/>
        </w:rPr>
        <w:t xml:space="preserve"> </w:t>
      </w:r>
      <w:r>
        <w:rPr>
          <w:szCs w:val="24"/>
        </w:rPr>
        <w:t>punktu:</w:t>
      </w:r>
    </w:p>
    <w:p>
      <w:pPr>
        <w:ind w:right="-1" w:firstLine="709"/>
        <w:jc w:val="both"/>
        <w:rPr>
          <w:szCs w:val="24"/>
          <w:lang w:eastAsia="lt-LT"/>
        </w:rPr>
      </w:pPr>
      <w:r>
        <w:rPr>
          <w:szCs w:val="24"/>
          <w:lang w:eastAsia="lt-LT"/>
        </w:rPr>
        <w:t>„</w:t>
      </w:r>
      <w:r>
        <w:rPr>
          <w:szCs w:val="24"/>
          <w:lang w:eastAsia="lt-LT"/>
        </w:rPr>
        <w:t>9</w:t>
      </w:r>
      <w:r>
        <w:rPr>
          <w:szCs w:val="24"/>
          <w:vertAlign w:val="superscript"/>
          <w:lang w:eastAsia="lt-LT"/>
        </w:rPr>
        <w:t>1</w:t>
      </w:r>
      <w:r>
        <w:rPr>
          <w:szCs w:val="24"/>
          <w:lang w:eastAsia="lt-LT"/>
        </w:rPr>
        <w:t>. Valstybės institucijų ir savivaldybių prašymai skirti Programos finansavimo lėšų rezervo valstybės reikmėms, susijusioms su keliais, finansuoti lėšų vertinami pagal šias sąlygas (eilės tvarka pagal svarbą):</w:t>
      </w:r>
    </w:p>
    <w:p>
      <w:pPr>
        <w:ind w:right="-1" w:firstLine="709"/>
        <w:jc w:val="both"/>
        <w:rPr>
          <w:szCs w:val="24"/>
          <w:lang w:eastAsia="lt-LT"/>
        </w:rPr>
      </w:pPr>
      <w:r>
        <w:rPr>
          <w:szCs w:val="24"/>
          <w:lang w:eastAsia="lt-LT"/>
        </w:rPr>
        <w:t>9</w:t>
      </w:r>
      <w:r>
        <w:rPr>
          <w:szCs w:val="24"/>
          <w:vertAlign w:val="superscript"/>
          <w:lang w:eastAsia="lt-LT"/>
        </w:rPr>
        <w:t>1</w:t>
      </w:r>
      <w:r>
        <w:rPr>
          <w:szCs w:val="24"/>
          <w:lang w:eastAsia="lt-LT"/>
        </w:rPr>
        <w:t>.1</w:t>
      </w:r>
      <w:r>
        <w:rPr>
          <w:szCs w:val="24"/>
          <w:lang w:eastAsia="lt-LT"/>
        </w:rPr>
        <w:t>. Programos finansavimo lėšų rezervo valstybės reikmėms, susijusioms su keliais, finansuoti lėšos skiriamos tiems valstybinės reikšmės ir vietinės reikšmės kelių (gatvių) objektų projektams (toliau – projektai) finansuoti, kuriuos vykdant įsigyjamas turtas ir dėl kurių įgyvendinimo yra priimti Lietuvos Respublikos Vyriausybės nutarimai arba Lietuvos Respublikos Vyriausybės pasitarimų protokolais įforminti Lietuvos Respublikos Vyriausybės sprendimai.</w:t>
      </w:r>
    </w:p>
    <w:p>
      <w:pPr>
        <w:ind w:right="-1" w:firstLine="709"/>
        <w:jc w:val="both"/>
        <w:rPr>
          <w:szCs w:val="24"/>
          <w:lang w:eastAsia="lt-LT"/>
        </w:rPr>
      </w:pPr>
      <w:r>
        <w:rPr>
          <w:szCs w:val="24"/>
          <w:lang w:eastAsia="lt-LT"/>
        </w:rPr>
        <w:t>9</w:t>
      </w:r>
      <w:r>
        <w:rPr>
          <w:szCs w:val="24"/>
          <w:vertAlign w:val="superscript"/>
          <w:lang w:eastAsia="lt-LT"/>
        </w:rPr>
        <w:t>1</w:t>
      </w:r>
      <w:r>
        <w:rPr>
          <w:szCs w:val="24"/>
          <w:lang w:eastAsia="lt-LT"/>
        </w:rPr>
        <w:t>.2</w:t>
      </w:r>
      <w:r>
        <w:rPr>
          <w:szCs w:val="24"/>
          <w:lang w:eastAsia="lt-LT"/>
        </w:rPr>
        <w:t>. Programos finansavimo lėšų rezervo valstybės reikmėms, susijusioms su keliais, finansuoti lėšos skiriamos Lietuvos automobilių kelių direkcijai valstybės reikmėms, susijusioms su keliais, finansuoti.</w:t>
      </w:r>
    </w:p>
    <w:p>
      <w:pPr>
        <w:ind w:right="-1" w:firstLine="709"/>
        <w:jc w:val="both"/>
        <w:rPr>
          <w:szCs w:val="24"/>
          <w:lang w:eastAsia="lt-LT"/>
        </w:rPr>
      </w:pPr>
      <w:r>
        <w:rPr>
          <w:szCs w:val="24"/>
          <w:lang w:eastAsia="lt-LT"/>
        </w:rPr>
        <w:t>9</w:t>
      </w:r>
      <w:r>
        <w:rPr>
          <w:szCs w:val="24"/>
          <w:vertAlign w:val="superscript"/>
          <w:lang w:eastAsia="lt-LT"/>
        </w:rPr>
        <w:t>1</w:t>
      </w:r>
      <w:r>
        <w:rPr>
          <w:szCs w:val="24"/>
          <w:lang w:eastAsia="lt-LT"/>
        </w:rPr>
        <w:t>.3</w:t>
      </w:r>
      <w:r>
        <w:rPr>
          <w:szCs w:val="24"/>
          <w:lang w:eastAsia="lt-LT"/>
        </w:rPr>
        <w:t>. Programos finansavimo lėšų rezervo valstybės reikmėms, susijusioms su keliais, finansuoti lėšos skiriamos daugiausia balų surinkusiems projektams, kuriuos vykdant įsigyjamas turtas, finansuoti.</w:t>
      </w:r>
    </w:p>
    <w:p>
      <w:pPr>
        <w:ind w:right="-1" w:firstLine="709"/>
        <w:jc w:val="both"/>
        <w:rPr>
          <w:szCs w:val="24"/>
          <w:lang w:eastAsia="lt-LT"/>
        </w:rPr>
      </w:pPr>
      <w:r>
        <w:rPr>
          <w:szCs w:val="24"/>
          <w:lang w:eastAsia="lt-LT"/>
        </w:rPr>
        <w:t>9</w:t>
      </w:r>
      <w:r>
        <w:rPr>
          <w:szCs w:val="24"/>
          <w:vertAlign w:val="superscript"/>
          <w:lang w:eastAsia="lt-LT"/>
        </w:rPr>
        <w:t>1</w:t>
      </w:r>
      <w:r>
        <w:rPr>
          <w:szCs w:val="24"/>
          <w:lang w:eastAsia="lt-LT"/>
        </w:rPr>
        <w:t>.4</w:t>
      </w:r>
      <w:r>
        <w:rPr>
          <w:szCs w:val="24"/>
          <w:lang w:eastAsia="lt-LT"/>
        </w:rPr>
        <w:t>. Jeigu daugiausia balų surinkusiems projektams finansuoti Programos finansavimo lėšų rezervo valstybės reikmėms, susijusioms su keliais, finansuoti lėšų nepakanka, Programos finansavimo lėšų rezervo valstybės reikmėms, susijusioms su keliais, finansuoti lėšų likutis šiems projektams finansuoti padalijamas proporcingai Programos finansavimo lėšų poreikiui.“</w:t>
      </w:r>
    </w:p>
    <w:p>
      <w:pPr>
        <w:ind w:right="-1" w:firstLine="709"/>
        <w:jc w:val="both"/>
        <w:rPr>
          <w:szCs w:val="24"/>
          <w:lang w:eastAsia="lt-LT"/>
        </w:rPr>
      </w:pPr>
      <w:r>
        <w:rPr>
          <w:szCs w:val="24"/>
          <w:lang w:eastAsia="lt-LT"/>
        </w:rPr>
        <w:t>3.10</w:t>
      </w:r>
      <w:r>
        <w:rPr>
          <w:szCs w:val="24"/>
          <w:lang w:eastAsia="lt-LT"/>
        </w:rPr>
        <w:t>. Papildyti 9</w:t>
      </w:r>
      <w:r>
        <w:rPr>
          <w:szCs w:val="24"/>
          <w:vertAlign w:val="superscript"/>
          <w:lang w:eastAsia="lt-LT"/>
        </w:rPr>
        <w:t>2</w:t>
      </w:r>
      <w:r>
        <w:rPr>
          <w:szCs w:val="24"/>
          <w:lang w:eastAsia="lt-LT"/>
        </w:rPr>
        <w:t xml:space="preserve"> punktu:</w:t>
      </w:r>
    </w:p>
    <w:p>
      <w:pPr>
        <w:ind w:right="-1" w:firstLine="709"/>
        <w:jc w:val="both"/>
        <w:rPr>
          <w:szCs w:val="24"/>
          <w:lang w:eastAsia="lt-LT"/>
        </w:rPr>
      </w:pPr>
      <w:r>
        <w:rPr>
          <w:szCs w:val="24"/>
          <w:lang w:eastAsia="lt-LT"/>
        </w:rPr>
        <w:t>„</w:t>
      </w:r>
      <w:r>
        <w:rPr>
          <w:szCs w:val="24"/>
          <w:lang w:eastAsia="lt-LT"/>
        </w:rPr>
        <w:t>9</w:t>
      </w:r>
      <w:r>
        <w:rPr>
          <w:szCs w:val="24"/>
          <w:vertAlign w:val="superscript"/>
          <w:lang w:eastAsia="lt-LT"/>
        </w:rPr>
        <w:t>2</w:t>
      </w:r>
      <w:r>
        <w:rPr>
          <w:szCs w:val="24"/>
          <w:lang w:eastAsia="lt-LT"/>
        </w:rPr>
        <w:t>. Savivaldybių prašymai skirti Aprašo 6.2 papunktyje nurodytų Programos finansavimo lėšų vertinami pagal šias sąlygas (eilės tvarka pagal svarbą):</w:t>
      </w:r>
    </w:p>
    <w:p>
      <w:pPr>
        <w:ind w:right="-1" w:firstLine="709"/>
        <w:jc w:val="both"/>
        <w:rPr>
          <w:szCs w:val="24"/>
          <w:lang w:eastAsia="lt-LT"/>
        </w:rPr>
      </w:pPr>
      <w:r>
        <w:rPr>
          <w:szCs w:val="24"/>
          <w:lang w:eastAsia="lt-LT"/>
        </w:rPr>
        <w:t>9</w:t>
      </w:r>
      <w:r>
        <w:rPr>
          <w:szCs w:val="24"/>
          <w:vertAlign w:val="superscript"/>
          <w:lang w:eastAsia="lt-LT"/>
        </w:rPr>
        <w:t>2</w:t>
      </w:r>
      <w:r>
        <w:rPr>
          <w:szCs w:val="24"/>
          <w:lang w:eastAsia="lt-LT"/>
        </w:rPr>
        <w:t>.1</w:t>
      </w:r>
      <w:r>
        <w:rPr>
          <w:szCs w:val="24"/>
          <w:lang w:eastAsia="lt-LT"/>
        </w:rPr>
        <w:t>. Programos finansavimo lėšos skiriamos daugiausia balų surinkusiems savivaldybių vietinės reikšmės kelių (gatvių) objektų projektams (toliau – vietinės reikšmės projektai) finansuoti.</w:t>
      </w:r>
    </w:p>
    <w:p>
      <w:pPr>
        <w:ind w:right="-1" w:firstLine="709"/>
        <w:jc w:val="both"/>
        <w:rPr>
          <w:szCs w:val="24"/>
          <w:lang w:eastAsia="lt-LT"/>
        </w:rPr>
      </w:pPr>
      <w:r>
        <w:rPr>
          <w:szCs w:val="24"/>
          <w:lang w:eastAsia="lt-LT"/>
        </w:rPr>
        <w:t>9</w:t>
      </w:r>
      <w:r>
        <w:rPr>
          <w:szCs w:val="24"/>
          <w:vertAlign w:val="superscript"/>
          <w:lang w:eastAsia="lt-LT"/>
        </w:rPr>
        <w:t>2</w:t>
      </w:r>
      <w:r>
        <w:rPr>
          <w:szCs w:val="24"/>
          <w:lang w:eastAsia="lt-LT"/>
        </w:rPr>
        <w:t>.2</w:t>
      </w:r>
      <w:r>
        <w:rPr>
          <w:szCs w:val="24"/>
          <w:lang w:eastAsia="lt-LT"/>
        </w:rPr>
        <w:t xml:space="preserve">. Vietinės reikšmės projektui planuojamais metais gali būti skiriama ne mažiau kaip 10 proc. Programos finansavimo lėšų poreikio, išskyrus atvejus, kai vietinės reikšmės projektui finansuoti ankstesniais metais jau buvo skirta Aprašo 6.2 papunktyje nurodytų lėšų ar Programos finansavimo lėšų rezervo valstybės reikmėms, susijusioms su keliais, finansuoti lėšų.“ </w:t>
      </w:r>
    </w:p>
    <w:p>
      <w:pPr>
        <w:ind w:right="-1" w:firstLine="709"/>
        <w:jc w:val="both"/>
        <w:rPr>
          <w:szCs w:val="24"/>
          <w:lang w:eastAsia="lt-LT"/>
        </w:rPr>
      </w:pPr>
      <w:r>
        <w:rPr>
          <w:szCs w:val="24"/>
          <w:lang w:eastAsia="lt-LT"/>
        </w:rPr>
        <w:t>3.11</w:t>
      </w:r>
      <w:r>
        <w:rPr>
          <w:szCs w:val="24"/>
          <w:lang w:eastAsia="lt-LT"/>
        </w:rPr>
        <w:t>. Papildyti 9</w:t>
      </w:r>
      <w:r>
        <w:rPr>
          <w:szCs w:val="24"/>
          <w:vertAlign w:val="superscript"/>
          <w:lang w:eastAsia="lt-LT"/>
        </w:rPr>
        <w:t>3</w:t>
      </w:r>
      <w:r>
        <w:rPr>
          <w:szCs w:val="24"/>
          <w:lang w:eastAsia="lt-LT"/>
        </w:rPr>
        <w:t xml:space="preserve"> punktu:</w:t>
      </w:r>
    </w:p>
    <w:p>
      <w:pPr>
        <w:tabs>
          <w:tab w:val="left" w:pos="709"/>
        </w:tabs>
        <w:ind w:firstLine="709"/>
        <w:jc w:val="both"/>
        <w:rPr>
          <w:color w:val="000000"/>
        </w:rPr>
      </w:pPr>
      <w:r>
        <w:rPr>
          <w:color w:val="000000"/>
        </w:rPr>
        <w:t>„</w:t>
      </w:r>
      <w:r>
        <w:rPr>
          <w:color w:val="000000"/>
        </w:rPr>
        <w:t>9</w:t>
      </w:r>
      <w:r>
        <w:rPr>
          <w:color w:val="000000"/>
          <w:vertAlign w:val="superscript"/>
        </w:rPr>
        <w:t>3</w:t>
      </w:r>
      <w:r>
        <w:rPr>
          <w:color w:val="000000"/>
        </w:rPr>
        <w:t>. Programos finansavimo lėšų rezervo</w:t>
      </w:r>
      <w:r>
        <w:rPr>
          <w:szCs w:val="24"/>
          <w:lang w:eastAsia="lt-LT"/>
        </w:rPr>
        <w:t xml:space="preserve"> valstybės reikmėms, susijusioms su keliais, finansuoti lėšos neskiriamos projektams</w:t>
      </w:r>
      <w:r>
        <w:rPr>
          <w:color w:val="000000"/>
        </w:rPr>
        <w:t xml:space="preserve"> ir </w:t>
      </w:r>
      <w:r>
        <w:rPr>
          <w:szCs w:val="24"/>
          <w:lang w:eastAsia="lt-LT"/>
        </w:rPr>
        <w:t>Aprašo 6.2 papunktyje</w:t>
      </w:r>
      <w:r>
        <w:rPr>
          <w:color w:val="000000"/>
        </w:rPr>
        <w:t xml:space="preserve"> </w:t>
      </w:r>
      <w:r>
        <w:rPr>
          <w:szCs w:val="24"/>
          <w:lang w:eastAsia="lt-LT"/>
        </w:rPr>
        <w:t xml:space="preserve">nurodytos Programos finansavimo lėšos </w:t>
      </w:r>
      <w:r>
        <w:rPr>
          <w:color w:val="000000"/>
        </w:rPr>
        <w:t>neskiriamos vietinės reikšmės projektams finansuoti, jeigu:</w:t>
      </w:r>
    </w:p>
    <w:p>
      <w:pPr>
        <w:tabs>
          <w:tab w:val="left" w:pos="709"/>
        </w:tabs>
        <w:ind w:firstLine="709"/>
        <w:jc w:val="both"/>
        <w:rPr>
          <w:i/>
          <w:iCs/>
          <w:color w:val="4F81BD"/>
        </w:rPr>
      </w:pPr>
      <w:r>
        <w:rPr>
          <w:color w:val="000000"/>
        </w:rPr>
        <w:t>9</w:t>
      </w:r>
      <w:r>
        <w:rPr>
          <w:color w:val="000000"/>
          <w:vertAlign w:val="superscript"/>
        </w:rPr>
        <w:t>3</w:t>
      </w:r>
      <w:r>
        <w:rPr>
          <w:color w:val="000000"/>
        </w:rPr>
        <w:t>.1</w:t>
      </w:r>
      <w:r>
        <w:rPr>
          <w:color w:val="000000"/>
        </w:rPr>
        <w:t xml:space="preserve">. </w:t>
      </w:r>
      <w:r>
        <w:rPr>
          <w:szCs w:val="24"/>
        </w:rPr>
        <w:t>bet kuriame projekto įgyvendinimo etape buvo nustatyta teisės aktų pažeidimų ir jie nebuvo ištaisyti;</w:t>
      </w:r>
    </w:p>
    <w:p>
      <w:pPr>
        <w:tabs>
          <w:tab w:val="left" w:pos="709"/>
        </w:tabs>
        <w:ind w:firstLine="709"/>
        <w:jc w:val="both"/>
        <w:rPr>
          <w:color w:val="000000"/>
        </w:rPr>
      </w:pPr>
      <w:r>
        <w:rPr>
          <w:color w:val="000000"/>
        </w:rPr>
        <w:t>9</w:t>
      </w:r>
      <w:r>
        <w:rPr>
          <w:color w:val="000000"/>
          <w:vertAlign w:val="superscript"/>
        </w:rPr>
        <w:t>3</w:t>
      </w:r>
      <w:r>
        <w:rPr>
          <w:color w:val="000000"/>
        </w:rPr>
        <w:t>.2</w:t>
      </w:r>
      <w:r>
        <w:rPr>
          <w:color w:val="000000"/>
        </w:rPr>
        <w:t xml:space="preserve">. </w:t>
      </w:r>
      <w:r>
        <w:rPr>
          <w:szCs w:val="24"/>
        </w:rPr>
        <w:t xml:space="preserve">prašymą skirti Programos finansavimo lėšų rezervo </w:t>
      </w:r>
      <w:r>
        <w:rPr>
          <w:szCs w:val="24"/>
          <w:lang w:eastAsia="lt-LT"/>
        </w:rPr>
        <w:t>valstybės reikmėms, susijusioms su keliais, finansuoti lėšų</w:t>
      </w:r>
      <w:r>
        <w:rPr>
          <w:szCs w:val="24"/>
        </w:rPr>
        <w:t xml:space="preserve"> teikianti </w:t>
      </w:r>
      <w:r>
        <w:rPr>
          <w:szCs w:val="24"/>
          <w:lang w:eastAsia="lt-LT"/>
        </w:rPr>
        <w:t xml:space="preserve">valstybės institucija ar savivaldybė </w:t>
      </w:r>
      <w:r>
        <w:rPr>
          <w:szCs w:val="24"/>
        </w:rPr>
        <w:t xml:space="preserve">ar prašymą skirti </w:t>
      </w:r>
      <w:r>
        <w:rPr>
          <w:szCs w:val="24"/>
          <w:lang w:eastAsia="lt-LT"/>
        </w:rPr>
        <w:t xml:space="preserve">Aprašo 6.2 papunktyje nurodytų Programos finansavimo lėšų </w:t>
      </w:r>
      <w:r>
        <w:rPr>
          <w:szCs w:val="24"/>
        </w:rPr>
        <w:t>teikianti savivaldybė nevaldo nuosavybės teise statinio (jo dalies) – investavimo objekto arba nevaldo ir nenaudoja statinio (jo dalies) kitais Lietuvos Respublikos įstatymų nustatytais pagrindais;</w:t>
      </w:r>
    </w:p>
    <w:p>
      <w:pPr>
        <w:tabs>
          <w:tab w:val="left" w:pos="709"/>
        </w:tabs>
        <w:ind w:firstLine="709"/>
        <w:jc w:val="both"/>
        <w:rPr>
          <w:szCs w:val="24"/>
        </w:rPr>
      </w:pPr>
      <w:r>
        <w:rPr>
          <w:color w:val="000000"/>
        </w:rPr>
        <w:t>9</w:t>
      </w:r>
      <w:r>
        <w:rPr>
          <w:color w:val="000000"/>
          <w:vertAlign w:val="superscript"/>
        </w:rPr>
        <w:t>3</w:t>
      </w:r>
      <w:r>
        <w:rPr>
          <w:color w:val="000000"/>
        </w:rPr>
        <w:t>.3</w:t>
      </w:r>
      <w:r>
        <w:rPr>
          <w:color w:val="000000"/>
        </w:rPr>
        <w:t xml:space="preserve">. </w:t>
      </w:r>
      <w:r>
        <w:rPr>
          <w:szCs w:val="24"/>
        </w:rPr>
        <w:t>tarptautinio pirkimo vertės ribas viršijantys prekių, paslaugų ar darbų pirkimai neatlikti iki planuojamų metų sausio 1 d.“</w:t>
      </w:r>
    </w:p>
    <w:p>
      <w:pPr>
        <w:tabs>
          <w:tab w:val="left" w:pos="709"/>
        </w:tabs>
        <w:ind w:firstLine="709"/>
        <w:jc w:val="both"/>
        <w:rPr>
          <w:szCs w:val="24"/>
          <w:lang w:eastAsia="lt-LT"/>
        </w:rPr>
      </w:pPr>
      <w:r>
        <w:rPr>
          <w:szCs w:val="24"/>
        </w:rPr>
        <w:t>3.12</w:t>
      </w:r>
      <w:r>
        <w:rPr>
          <w:szCs w:val="24"/>
        </w:rPr>
        <w:t xml:space="preserve">. </w:t>
      </w:r>
      <w:r>
        <w:rPr>
          <w:szCs w:val="24"/>
          <w:lang w:eastAsia="lt-LT"/>
        </w:rPr>
        <w:t>Papildyti 9</w:t>
      </w:r>
      <w:r>
        <w:rPr>
          <w:szCs w:val="24"/>
          <w:vertAlign w:val="superscript"/>
          <w:lang w:eastAsia="lt-LT"/>
        </w:rPr>
        <w:t>4</w:t>
      </w:r>
      <w:r>
        <w:rPr>
          <w:szCs w:val="24"/>
          <w:lang w:eastAsia="lt-LT"/>
        </w:rPr>
        <w:t xml:space="preserve"> punktu:</w:t>
      </w:r>
    </w:p>
    <w:p>
      <w:pPr>
        <w:ind w:right="-1" w:firstLine="709"/>
        <w:jc w:val="both"/>
        <w:rPr>
          <w:szCs w:val="24"/>
        </w:rPr>
      </w:pPr>
      <w:r>
        <w:rPr>
          <w:szCs w:val="24"/>
          <w:lang w:eastAsia="lt-LT"/>
        </w:rPr>
        <w:t>„</w:t>
      </w:r>
      <w:r>
        <w:rPr>
          <w:szCs w:val="24"/>
          <w:lang w:eastAsia="lt-LT"/>
        </w:rPr>
        <w:t>9</w:t>
      </w:r>
      <w:r>
        <w:rPr>
          <w:szCs w:val="24"/>
          <w:vertAlign w:val="superscript"/>
          <w:lang w:eastAsia="lt-LT"/>
        </w:rPr>
        <w:t>4</w:t>
      </w:r>
      <w:r>
        <w:rPr>
          <w:szCs w:val="24"/>
          <w:lang w:eastAsia="lt-LT"/>
        </w:rPr>
        <w:t>. Programos finansavimo lėšų rezervo valstybės reikmėms, susijusioms su keliais, finansuoti lėšų neskiriama vietinės reikšmės projektams finansuoti, jeigu planuojamais metais šiems projektams finansuoti skirta Lietuvos Respublikos valstybės biudžete numatytų Programos finansavimo lėšų netaikant Lietuvos Respublikos kelių priežiūros ir plėtros programos finansavimo įstatymo 9 straipsnio 5 dalyje nustatytų procentinių dydžių.“</w:t>
      </w:r>
      <w:r>
        <w:rPr>
          <w:szCs w:val="24"/>
        </w:rPr>
        <w:t xml:space="preserve"> </w:t>
      </w:r>
    </w:p>
    <w:p>
      <w:pPr>
        <w:tabs>
          <w:tab w:val="left" w:pos="709"/>
        </w:tabs>
        <w:ind w:firstLine="709"/>
        <w:jc w:val="both"/>
        <w:rPr>
          <w:szCs w:val="24"/>
          <w:lang w:eastAsia="lt-LT"/>
        </w:rPr>
      </w:pPr>
      <w:r>
        <w:rPr>
          <w:szCs w:val="24"/>
        </w:rPr>
        <w:t>3.13</w:t>
      </w:r>
      <w:r>
        <w:rPr>
          <w:szCs w:val="24"/>
        </w:rPr>
        <w:t xml:space="preserve">. </w:t>
      </w:r>
      <w:r>
        <w:rPr>
          <w:szCs w:val="24"/>
          <w:lang w:eastAsia="lt-LT"/>
        </w:rPr>
        <w:t>Pakeisti 10 punktą ir jį išdėstyti taip:</w:t>
      </w:r>
    </w:p>
    <w:p>
      <w:pPr>
        <w:tabs>
          <w:tab w:val="left" w:pos="709"/>
        </w:tabs>
        <w:ind w:firstLine="709"/>
        <w:jc w:val="both"/>
        <w:rPr>
          <w:szCs w:val="24"/>
          <w:lang w:eastAsia="lt-LT"/>
        </w:rPr>
      </w:pPr>
      <w:r>
        <w:rPr>
          <w:szCs w:val="24"/>
          <w:lang w:eastAsia="lt-LT"/>
        </w:rPr>
        <w:t>„</w:t>
      </w:r>
      <w:r>
        <w:rPr>
          <w:szCs w:val="24"/>
          <w:lang w:eastAsia="lt-LT"/>
        </w:rPr>
        <w:t>10</w:t>
      </w:r>
      <w:r>
        <w:rPr>
          <w:szCs w:val="24"/>
          <w:lang w:eastAsia="lt-LT"/>
        </w:rPr>
        <w:t>. Pasibaigus metams, valstybės institucijos ir savivaldybės pateikia Lietuvos automobilių kelių direkcijai atliktų darbų ir lėšų naudojimo ataskaitas.“</w:t>
      </w:r>
    </w:p>
    <w:p>
      <w:pPr>
        <w:tabs>
          <w:tab w:val="left" w:pos="6237"/>
        </w:tabs>
        <w:ind w:firstLine="709"/>
        <w:jc w:val="both"/>
        <w:rPr>
          <w:szCs w:val="24"/>
          <w:lang w:eastAsia="lt-LT"/>
        </w:rPr>
      </w:pPr>
      <w:r>
        <w:rPr>
          <w:szCs w:val="24"/>
          <w:lang w:eastAsia="lt-LT"/>
        </w:rPr>
        <w:t>4</w:t>
      </w:r>
      <w:r>
        <w:rPr>
          <w:szCs w:val="24"/>
          <w:lang w:eastAsia="lt-LT"/>
        </w:rPr>
        <w:t>. Pakeisti nurodytu nutarimu patvirtintą Kelių priežiūros ir plėtros programos finansavimo lėšų naudojimo perkėlimo keltais per Klaipėdos valstybinio jūrų uosto akvatoriją į Kuršių neriją ir iš Kuršių nerijos bilieto kainai kompensuoti ir gyventojų ir jų lengvųjų automobilių neatlygintino perkėlimo užlietu krašto kelio Šilutė–Rusnė ruožu sąnaudoms kompensuoti tvarkos aprašą ir II skyrių išdėstyti taip:</w:t>
      </w:r>
    </w:p>
    <w:p>
      <w:pPr>
        <w:tabs>
          <w:tab w:val="left" w:pos="851"/>
          <w:tab w:val="left" w:pos="993"/>
        </w:tabs>
        <w:ind w:firstLine="709"/>
        <w:jc w:val="both"/>
        <w:rPr>
          <w:szCs w:val="24"/>
          <w:lang w:eastAsia="lt-LT"/>
        </w:rPr>
      </w:pPr>
    </w:p>
    <w:p>
      <w:pPr>
        <w:keepNext/>
        <w:jc w:val="center"/>
        <w:rPr>
          <w:b/>
          <w:lang w:eastAsia="lt-LT"/>
        </w:rPr>
      </w:pPr>
      <w:r>
        <w:rPr>
          <w:lang w:eastAsia="lt-LT"/>
        </w:rPr>
        <w:t>„</w:t>
      </w:r>
      <w:r>
        <w:rPr>
          <w:b/>
          <w:lang w:eastAsia="lt-LT"/>
        </w:rPr>
        <w:t>II</w:t>
      </w:r>
      <w:r>
        <w:rPr>
          <w:b/>
          <w:lang w:eastAsia="lt-LT"/>
        </w:rPr>
        <w:t xml:space="preserve"> SKYRIUS </w:t>
      </w:r>
    </w:p>
    <w:p>
      <w:pPr>
        <w:keepNext/>
        <w:jc w:val="center"/>
        <w:rPr>
          <w:b/>
          <w:lang w:eastAsia="lt-LT"/>
        </w:rPr>
      </w:pPr>
      <w:r>
        <w:rPr>
          <w:b/>
          <w:lang w:eastAsia="lt-LT"/>
        </w:rPr>
        <w:t>KELEIVIŲ IR TRANSPORTO PRIEMONIŲ PERKĖLIMO KELTAIS BILIETO KAINOS IR NEATLYGINTINO GYVENTOJŲ IR JŲ LENGVŲJŲ AUTOMOBILIŲ PERKĖLIMO UŽLIETU KRAŠTO KELIO ŠILUTĖ–RUSNĖ RUOŽU SĄNAUDŲ KOMPENSAVIMAS</w:t>
      </w:r>
    </w:p>
    <w:p>
      <w:pPr>
        <w:ind w:firstLine="709"/>
        <w:rPr>
          <w:lang w:eastAsia="lt-LT"/>
        </w:rPr>
      </w:pPr>
    </w:p>
    <w:p>
      <w:pPr>
        <w:suppressAutoHyphens/>
        <w:ind w:firstLine="709"/>
        <w:jc w:val="both"/>
        <w:rPr>
          <w:szCs w:val="24"/>
          <w:lang w:eastAsia="lt-LT"/>
        </w:rPr>
      </w:pPr>
      <w:r>
        <w:rPr>
          <w:szCs w:val="24"/>
          <w:lang w:eastAsia="lt-LT"/>
        </w:rPr>
        <w:t>5</w:t>
      </w:r>
      <w:r>
        <w:rPr>
          <w:szCs w:val="24"/>
          <w:lang w:eastAsia="lt-LT"/>
        </w:rPr>
        <w:t>. Lietuvos automobilių kelių direkcija prie Susisiekimo ministerijos (toliau – Lietuvos automobilių kelių direkcija) kasmet iki sausio 1 d. sudaro su vežėju keleivių ir transporto priemonių perkėlimo keltais per Klaipėdos valstybinio jūrų uosto akvatoriją į Kuršių neriją ir iš Kuršių nerijos bilieto kainos kompensavimo sutartį, o su valstybės įmone, prižiūrinčia krašto kelio Šilutė–Rusnė ruožą, – gyventojų ir jų lengvųjų automobilių neatlygintino perkėlimo organizavimo užlietu krašto kelio Šilutė–Rusnė ruožu ir sąnaudų kompensavimo sutartį.</w:t>
      </w:r>
    </w:p>
    <w:p>
      <w:pPr>
        <w:suppressAutoHyphens/>
        <w:ind w:firstLine="709"/>
        <w:jc w:val="both"/>
        <w:rPr>
          <w:szCs w:val="24"/>
          <w:lang w:eastAsia="lt-LT"/>
        </w:rPr>
      </w:pPr>
      <w:r>
        <w:rPr>
          <w:szCs w:val="24"/>
          <w:lang w:eastAsia="lt-LT"/>
        </w:rPr>
        <w:t>6</w:t>
      </w:r>
      <w:r>
        <w:rPr>
          <w:szCs w:val="24"/>
          <w:lang w:eastAsia="lt-LT"/>
        </w:rPr>
        <w:t xml:space="preserve">. Kompensuojama keleivių ir transporto priemonių, kurie įtraukti į elektroninį sąrašą, perkėlimo keltais per Klaipėdos valstybinio jūrų uosto akvatoriją į Kuršių neriją ir iš Kuršių nerijos bilieto kaina. </w:t>
      </w:r>
    </w:p>
    <w:p>
      <w:pPr>
        <w:suppressAutoHyphens/>
        <w:ind w:firstLine="709"/>
        <w:jc w:val="both"/>
        <w:rPr>
          <w:szCs w:val="24"/>
          <w:lang w:eastAsia="lt-LT"/>
        </w:rPr>
      </w:pPr>
      <w:r>
        <w:rPr>
          <w:szCs w:val="24"/>
          <w:lang w:eastAsia="lt-LT"/>
        </w:rPr>
        <w:t>7</w:t>
      </w:r>
      <w:r>
        <w:rPr>
          <w:szCs w:val="24"/>
          <w:lang w:eastAsia="lt-LT"/>
        </w:rPr>
        <w:t>. Elektroninį sąrašą sudaro Lietuvos automobilių kelių direkcijos valdomoje Keleivių ir transporto priemonių, gaunančių perkėlimo keltais per Klaipėdos valstybinio jūrų uosto akvatoriją į Kuršių neriją ir iš Kuršių nerijos bilieto kainos kompensaciją, informacinėje sistemoje tvarkomi duomenys apie asmenis ir transporto priemones, patvirtinantys teisę gauti bilieto kainos kompensavimą už perkėlimą keltais per Klaipėdos valstybinio jūrų uosto akvatoriją į Kuršių neriją ir iš Kuršių nerijos.</w:t>
      </w:r>
    </w:p>
    <w:p>
      <w:pPr>
        <w:ind w:firstLine="709"/>
        <w:jc w:val="both"/>
        <w:rPr>
          <w:szCs w:val="24"/>
          <w:lang w:eastAsia="lt-LT"/>
        </w:rPr>
      </w:pPr>
      <w:r>
        <w:rPr>
          <w:szCs w:val="24"/>
          <w:lang w:eastAsia="lt-LT"/>
        </w:rPr>
        <w:t>8</w:t>
      </w:r>
      <w:r>
        <w:rPr>
          <w:szCs w:val="24"/>
          <w:lang w:eastAsia="lt-LT"/>
        </w:rPr>
        <w:t>. Elektroninio sąrašo sudarymo tikslais Lietuvos automobilių kelių direkcija renka asmens duomenis ir (arba) naudoja VĮ Registrų centro, VĮ „Regitra“ ir kitų valstybės informacinių sistemų ir registrų sukauptus asmens duomenis, kurie yra būtini siekiant identifikuoti asmenis ir transporto priemones, kuriems gali būti suteikta neatlygintino perkėlimo per Klaipėdos valstybinio jūrų uosto akvatoriją į Kuršių neriją ir iš Kuršių nerijos paslauga.</w:t>
      </w:r>
      <w:r>
        <w:rPr>
          <w:color w:val="548DD4"/>
          <w:lang w:eastAsia="lt-LT"/>
        </w:rPr>
        <w:t xml:space="preserve"> </w:t>
      </w:r>
    </w:p>
    <w:p>
      <w:pPr>
        <w:suppressAutoHyphens/>
        <w:ind w:firstLine="709"/>
        <w:jc w:val="both"/>
        <w:rPr>
          <w:szCs w:val="24"/>
        </w:rPr>
      </w:pPr>
      <w:r>
        <w:rPr>
          <w:szCs w:val="24"/>
          <w:lang w:eastAsia="lt-LT"/>
        </w:rPr>
        <w:t>9</w:t>
      </w:r>
      <w:r>
        <w:rPr>
          <w:szCs w:val="24"/>
          <w:lang w:eastAsia="lt-LT"/>
        </w:rPr>
        <w:t xml:space="preserve">. Į elektroninį sąrašą įtraukiami šie </w:t>
      </w:r>
      <w:r>
        <w:rPr>
          <w:szCs w:val="24"/>
        </w:rPr>
        <w:t xml:space="preserve">asmenys </w:t>
      </w:r>
      <w:r>
        <w:rPr>
          <w:szCs w:val="24"/>
          <w:lang w:eastAsia="lt-LT"/>
        </w:rPr>
        <w:t>ir transporto priemonės</w:t>
      </w:r>
      <w:r>
        <w:rPr>
          <w:szCs w:val="24"/>
        </w:rPr>
        <w:t>:</w:t>
      </w:r>
    </w:p>
    <w:p>
      <w:pPr>
        <w:suppressAutoHyphens/>
        <w:ind w:firstLine="709"/>
        <w:jc w:val="both"/>
        <w:rPr>
          <w:color w:val="000000"/>
          <w:szCs w:val="24"/>
          <w:lang w:eastAsia="lt-LT"/>
        </w:rPr>
      </w:pPr>
      <w:r>
        <w:rPr>
          <w:szCs w:val="24"/>
          <w:lang w:eastAsia="lt-LT"/>
        </w:rPr>
        <w:t>9</w:t>
      </w:r>
      <w:r>
        <w:rPr>
          <w:color w:val="000000"/>
          <w:szCs w:val="24"/>
          <w:lang w:eastAsia="lt-LT"/>
        </w:rPr>
        <w:t>.1</w:t>
      </w:r>
      <w:r>
        <w:rPr>
          <w:color w:val="000000"/>
          <w:szCs w:val="24"/>
          <w:lang w:eastAsia="lt-LT"/>
        </w:rPr>
        <w:t>. neįgalieji, pateikę neįgaliojo pažymėjimą, ir jų vairuojami lengvieji automobiliai, kurių registracijos liudijime yra specialiosios (</w:t>
      </w:r>
      <w:r>
        <w:rPr>
          <w:iCs/>
          <w:color w:val="000000"/>
          <w:szCs w:val="24"/>
          <w:lang w:eastAsia="lt-LT"/>
        </w:rPr>
        <w:t>pritaikytos neįgaliesiems</w:t>
      </w:r>
      <w:r>
        <w:rPr>
          <w:color w:val="000000"/>
          <w:szCs w:val="24"/>
          <w:lang w:eastAsia="lt-LT"/>
        </w:rPr>
        <w:t>) paskirties transporto priemonės statusą patvirtinanti žyma;</w:t>
      </w:r>
    </w:p>
    <w:p>
      <w:pPr>
        <w:suppressAutoHyphens/>
        <w:ind w:firstLine="709"/>
        <w:jc w:val="both"/>
        <w:rPr>
          <w:color w:val="000000"/>
          <w:szCs w:val="24"/>
          <w:lang w:eastAsia="lt-LT"/>
        </w:rPr>
      </w:pPr>
      <w:r>
        <w:rPr>
          <w:color w:val="000000"/>
          <w:szCs w:val="24"/>
          <w:lang w:eastAsia="lt-LT"/>
        </w:rPr>
        <w:t>9.2</w:t>
      </w:r>
      <w:r>
        <w:rPr>
          <w:color w:val="000000"/>
          <w:szCs w:val="24"/>
          <w:lang w:eastAsia="lt-LT"/>
        </w:rPr>
        <w:t xml:space="preserve">. tarnybos reikalais vykstantys greitosios medicinos pagalbos ir reanimacijos, priešgaisrinių gelbėjimo tarnybų, policijos, valstybės sienos apsaugos, civilinės saugos, kelių priežiūros, uosto saugos tarnybos, prokuratūros, muitinės pareigūnai, pateikę pažymėjimą, ir šių tarnybų specialiomis spalvomis nudažytos transporto priemonės su specialiaisiais šviesos ir garso signalais arba tik su specialiaisiais šviesos signalais; kitos transporto priemonės į </w:t>
      </w:r>
      <w:r>
        <w:rPr>
          <w:szCs w:val="24"/>
          <w:lang w:eastAsia="lt-LT"/>
        </w:rPr>
        <w:t xml:space="preserve"> elektroninį sąrašą įtraukiamos pagal minėtų tarnybų </w:t>
      </w:r>
      <w:r>
        <w:rPr>
          <w:color w:val="000000"/>
          <w:szCs w:val="24"/>
          <w:lang w:eastAsia="lt-LT"/>
        </w:rPr>
        <w:t>Lietuvos automobilių kelių direkcijai pateiktą transporto priemonių sąrašą;</w:t>
      </w:r>
    </w:p>
    <w:p>
      <w:pPr>
        <w:suppressAutoHyphens/>
        <w:ind w:firstLine="709"/>
        <w:jc w:val="both"/>
        <w:rPr>
          <w:color w:val="000000"/>
          <w:szCs w:val="24"/>
          <w:lang w:eastAsia="lt-LT"/>
        </w:rPr>
      </w:pPr>
      <w:r>
        <w:rPr>
          <w:color w:val="000000"/>
          <w:szCs w:val="24"/>
          <w:lang w:eastAsia="lt-LT"/>
        </w:rPr>
        <w:t>9.3</w:t>
      </w:r>
      <w:r>
        <w:rPr>
          <w:color w:val="000000"/>
          <w:szCs w:val="24"/>
          <w:lang w:eastAsia="lt-LT"/>
        </w:rPr>
        <w:t>. Klaipėdos miesto savivaldybės valstybės tarnautojai ir darbuotojai, atliekantys tarnybines funkcijas Klaipėdos miesto dalyje Smiltynėje, pagal Klaipėdos miesto savivaldybės Lietuvos automobilių kelių direkcijai pateiktą valstybės tarnautojų ir darbuotojų sąrašą;</w:t>
      </w:r>
    </w:p>
    <w:p>
      <w:pPr>
        <w:ind w:firstLine="709"/>
        <w:jc w:val="both"/>
        <w:rPr>
          <w:color w:val="000000"/>
          <w:szCs w:val="24"/>
          <w:lang w:eastAsia="lt-LT"/>
        </w:rPr>
      </w:pPr>
      <w:r>
        <w:rPr>
          <w:color w:val="000000"/>
          <w:szCs w:val="24"/>
          <w:lang w:eastAsia="lt-LT"/>
        </w:rPr>
        <w:t>9.4</w:t>
      </w:r>
      <w:r>
        <w:rPr>
          <w:color w:val="000000"/>
          <w:szCs w:val="24"/>
          <w:lang w:eastAsia="lt-LT"/>
        </w:rPr>
        <w:t xml:space="preserve">. tolimojo, vietinio (miesto) reguliaraus susisiekimo autobusai, kurių maršrutai </w:t>
      </w:r>
      <w:r>
        <w:t>patvirtinti Viešojo transporto kelionių duomenų informacinėje sistemoje;</w:t>
      </w:r>
    </w:p>
    <w:p>
      <w:pPr>
        <w:ind w:firstLine="709"/>
        <w:jc w:val="both"/>
        <w:rPr>
          <w:color w:val="000000"/>
          <w:szCs w:val="24"/>
          <w:lang w:eastAsia="lt-LT"/>
        </w:rPr>
      </w:pPr>
      <w:r>
        <w:rPr>
          <w:color w:val="000000"/>
          <w:szCs w:val="24"/>
          <w:lang w:eastAsia="lt-LT"/>
        </w:rPr>
        <w:t>9.5</w:t>
      </w:r>
      <w:r>
        <w:rPr>
          <w:color w:val="000000"/>
          <w:szCs w:val="24"/>
          <w:lang w:eastAsia="lt-LT"/>
        </w:rPr>
        <w:t>. autocisternos, kuriomis vežamas kuras į Kuršių neriją, kai pateikiamas kuro vežimo važtaraštis;</w:t>
      </w:r>
    </w:p>
    <w:p>
      <w:pPr>
        <w:ind w:firstLine="709"/>
        <w:jc w:val="both"/>
        <w:rPr>
          <w:szCs w:val="24"/>
          <w:lang w:eastAsia="lt-LT"/>
        </w:rPr>
      </w:pPr>
      <w:r>
        <w:rPr>
          <w:color w:val="000000"/>
          <w:szCs w:val="24"/>
          <w:lang w:eastAsia="lt-LT"/>
        </w:rPr>
        <w:t>9.6</w:t>
      </w:r>
      <w:r>
        <w:rPr>
          <w:color w:val="000000"/>
          <w:szCs w:val="24"/>
          <w:lang w:eastAsia="lt-LT"/>
        </w:rPr>
        <w:t xml:space="preserve">. transporto priemonės, registruotos juridinių asmenų, turinčių Kuršių nerijoje registruotą buveinę, vardu arba šių juridinių asmenų valdomos transporto priemonės, kurių </w:t>
      </w:r>
      <w:r>
        <w:rPr>
          <w:szCs w:val="24"/>
          <w:lang w:eastAsia="lt-LT"/>
        </w:rPr>
        <w:t>registracijos liudijime šie juridiniai asmenys yra nurodyti transporto priemonės valdytojais;</w:t>
      </w:r>
    </w:p>
    <w:p>
      <w:pPr>
        <w:ind w:firstLine="709"/>
        <w:jc w:val="both"/>
        <w:rPr>
          <w:szCs w:val="24"/>
          <w:lang w:eastAsia="lt-LT"/>
        </w:rPr>
      </w:pPr>
      <w:r>
        <w:rPr>
          <w:szCs w:val="24"/>
          <w:lang w:eastAsia="lt-LT"/>
        </w:rPr>
        <w:t>9.7</w:t>
      </w:r>
      <w:r>
        <w:rPr>
          <w:szCs w:val="24"/>
          <w:lang w:eastAsia="lt-LT"/>
        </w:rPr>
        <w:t>. juridinių asmenų, turinčių Kuršių nerijoje registruotą buveinę, darbuotojai, registruoti Valstybinio socialinio draudimo fondo valdybos duomenų bazėje;</w:t>
      </w:r>
    </w:p>
    <w:p>
      <w:pPr>
        <w:ind w:firstLine="709"/>
        <w:jc w:val="both"/>
        <w:rPr>
          <w:color w:val="000000"/>
          <w:szCs w:val="24"/>
          <w:lang w:eastAsia="lt-LT"/>
        </w:rPr>
      </w:pPr>
      <w:r>
        <w:rPr>
          <w:color w:val="000000"/>
          <w:szCs w:val="24"/>
          <w:lang w:eastAsia="lt-LT"/>
        </w:rPr>
        <w:t>9.8</w:t>
      </w:r>
      <w:r>
        <w:rPr>
          <w:color w:val="000000"/>
          <w:szCs w:val="24"/>
          <w:lang w:eastAsia="lt-LT"/>
        </w:rPr>
        <w:t xml:space="preserve">. transporto priemonės, registruotos Klaipėdos miesto savivaldybės įmonių  vardu arba šių įmonių valdomos transporto priemonės, kurių registracijos liudijime šios įmonės nurodytos transporto priemonių valdytojomis; </w:t>
      </w:r>
    </w:p>
    <w:p>
      <w:pPr>
        <w:ind w:firstLine="709"/>
        <w:jc w:val="both"/>
        <w:rPr>
          <w:color w:val="000000"/>
          <w:szCs w:val="24"/>
          <w:lang w:eastAsia="lt-LT"/>
        </w:rPr>
      </w:pPr>
      <w:r>
        <w:rPr>
          <w:color w:val="000000"/>
          <w:szCs w:val="24"/>
          <w:lang w:eastAsia="lt-LT"/>
        </w:rPr>
        <w:t>9.9</w:t>
      </w:r>
      <w:r>
        <w:rPr>
          <w:color w:val="000000"/>
          <w:szCs w:val="24"/>
          <w:lang w:eastAsia="lt-LT"/>
        </w:rPr>
        <w:t>. Klaipėdos miesto savivaldybės įmonių darbuotojai, dirbantys darbus Klaipėdos miesto dalyje Smiltynėje, pagal Klaipėdos miesto savivaldybės Lietuvos automobilių kelių direkcijai pateiktą darbuotojų sąrašą;</w:t>
      </w:r>
    </w:p>
    <w:p>
      <w:pPr>
        <w:ind w:firstLine="709"/>
        <w:jc w:val="both"/>
        <w:rPr>
          <w:color w:val="000000"/>
          <w:szCs w:val="24"/>
          <w:lang w:eastAsia="lt-LT"/>
        </w:rPr>
      </w:pPr>
      <w:r>
        <w:rPr>
          <w:color w:val="000000"/>
          <w:szCs w:val="24"/>
          <w:lang w:eastAsia="lt-LT"/>
        </w:rPr>
        <w:t>9.10</w:t>
      </w:r>
      <w:r>
        <w:rPr>
          <w:color w:val="000000"/>
          <w:szCs w:val="24"/>
          <w:lang w:eastAsia="lt-LT"/>
        </w:rPr>
        <w:t>. Neringos mieste ir Klaipėdos miesto dalyje Smiltynėje gyvenamąją vietą deklaravusieji asmenys, kurių duomenys yra Gyventojų registre;</w:t>
      </w:r>
    </w:p>
    <w:p>
      <w:pPr>
        <w:ind w:firstLine="709"/>
        <w:jc w:val="both"/>
        <w:rPr>
          <w:color w:val="000000"/>
          <w:szCs w:val="24"/>
          <w:lang w:eastAsia="lt-LT"/>
        </w:rPr>
      </w:pPr>
      <w:r>
        <w:rPr>
          <w:color w:val="000000"/>
          <w:szCs w:val="24"/>
          <w:lang w:eastAsia="lt-LT"/>
        </w:rPr>
        <w:t>9.11</w:t>
      </w:r>
      <w:r>
        <w:rPr>
          <w:color w:val="000000"/>
          <w:szCs w:val="24"/>
          <w:lang w:eastAsia="lt-LT"/>
        </w:rPr>
        <w:t>. transporto priemonės, registruotos Neringos mieste ir Klaipėdos miesto dalyje Smiltynėje gyvenamąją vietą deklaravusių asmenų vardu, ir šių asmenų valdomos transporto priemonės, kurių registracijos liudijime šie asmenys yra nurodyti transporto priemonės valdytojais.</w:t>
      </w:r>
    </w:p>
    <w:p>
      <w:pPr>
        <w:suppressAutoHyphens/>
        <w:ind w:firstLine="709"/>
        <w:jc w:val="both"/>
        <w:rPr>
          <w:szCs w:val="24"/>
          <w:lang w:eastAsia="lt-LT"/>
        </w:rPr>
      </w:pPr>
      <w:r>
        <w:rPr>
          <w:szCs w:val="24"/>
          <w:lang w:eastAsia="lt-LT"/>
        </w:rPr>
        <w:t>10</w:t>
      </w:r>
      <w:r>
        <w:rPr>
          <w:szCs w:val="24"/>
          <w:lang w:eastAsia="lt-LT"/>
        </w:rPr>
        <w:t xml:space="preserve">. Kompensacijos suma apskaičiuojama kiekvieną mėnesį pagal vežėjo perkeltų keleivių ir transporto priemonių, kurių perkėlimo keltais per Klaipėdos valstybinio jūrų uosto akvatoriją į Kuršių neriją ir iš Kuršių nerijos bilieto kaina kompensuojama, skaičių. Vežėjas iki kito mėnesio 5 dienos pateikia Lietuvos automobilių kelių direkcijai jos nustatytos formos ataskaitą ir pridėtinės vertės mokesčio sąskaitą faktūrą. </w:t>
      </w:r>
    </w:p>
    <w:p>
      <w:pPr>
        <w:suppressAutoHyphens/>
        <w:ind w:firstLine="709"/>
        <w:jc w:val="both"/>
        <w:rPr>
          <w:szCs w:val="24"/>
          <w:lang w:eastAsia="lt-LT"/>
        </w:rPr>
      </w:pPr>
      <w:r>
        <w:rPr>
          <w:szCs w:val="24"/>
          <w:lang w:eastAsia="lt-LT"/>
        </w:rPr>
        <w:t>11</w:t>
      </w:r>
      <w:r>
        <w:rPr>
          <w:szCs w:val="24"/>
          <w:lang w:eastAsia="lt-LT"/>
        </w:rPr>
        <w:t>. Valstybės įmonė, prižiūrinti krašto kelio Šilutė–Rusnė ruožą, organizuoja gyventojų ir jų lengvųjų automobilių perkėlimą užlietu krašto kelio Šilutė–Rusnė ruožu potvynio laikotarpiu, kai Šilutės rajono savivaldybės administracijos direktorius išleidžia įsakymą dėl ekstremaliojo</w:t>
      </w:r>
      <w:r>
        <w:rPr>
          <w:b/>
          <w:szCs w:val="24"/>
          <w:lang w:eastAsia="lt-LT"/>
        </w:rPr>
        <w:t xml:space="preserve"> </w:t>
      </w:r>
      <w:r>
        <w:rPr>
          <w:szCs w:val="24"/>
          <w:lang w:eastAsia="lt-LT"/>
        </w:rPr>
        <w:t>įvykio – potvynio. Valstybės įmonė, prižiūrinti krašto kelio Šilutė–Rusnė ruožą, iki kiekvieno mėnesio 5 dienos pateikia Lietuvos automobilių kelių direkcijai jos patvirtintos formos gyventojų ir jų lengvųjų automobilių neatlygintino perkėlimo užlietu krašto kelio Šilutė–Rusnė ruožu sąnaudų ataskaitą ir pridėtinės vertės mokesčio sąskaitą faktūrą.</w:t>
      </w:r>
    </w:p>
    <w:p>
      <w:pPr>
        <w:suppressAutoHyphens/>
        <w:ind w:firstLine="709"/>
        <w:jc w:val="both"/>
        <w:rPr>
          <w:szCs w:val="24"/>
          <w:lang w:eastAsia="lt-LT"/>
        </w:rPr>
      </w:pPr>
      <w:r>
        <w:rPr>
          <w:szCs w:val="24"/>
          <w:lang w:eastAsia="lt-LT"/>
        </w:rPr>
        <w:t>12</w:t>
      </w:r>
      <w:r>
        <w:rPr>
          <w:szCs w:val="24"/>
          <w:lang w:eastAsia="lt-LT"/>
        </w:rPr>
        <w:t>. Lietuvos automobilių kelių direkcija pagal pateiktus dokumentus perveda lėšas į vežėjo ir valstybės įmonės, prižiūrinčios krašto kelio Šilutė–Rusnė ruožą, sąskaitas.</w:t>
      </w:r>
    </w:p>
    <w:p>
      <w:pPr>
        <w:suppressAutoHyphens/>
        <w:ind w:firstLine="709"/>
        <w:jc w:val="both"/>
        <w:rPr>
          <w:szCs w:val="24"/>
          <w:lang w:eastAsia="lt-LT"/>
        </w:rPr>
      </w:pPr>
      <w:r>
        <w:rPr>
          <w:szCs w:val="24"/>
          <w:lang w:eastAsia="lt-LT"/>
        </w:rPr>
        <w:t>13</w:t>
      </w:r>
      <w:r>
        <w:rPr>
          <w:szCs w:val="24"/>
          <w:lang w:eastAsia="lt-LT"/>
        </w:rPr>
        <w:t>. Už pateiktų ataskaitų teisingumą atsako valstybės įmonė, prižiūrinti krašto kelio Šilutė–Rusnė ruožą.“</w:t>
      </w:r>
    </w:p>
    <w:p>
      <w:pPr>
        <w:suppressAutoHyphens/>
        <w:ind w:firstLine="709"/>
        <w:jc w:val="both"/>
        <w:rPr>
          <w:szCs w:val="24"/>
          <w:lang w:eastAsia="lt-LT"/>
        </w:rPr>
      </w:pPr>
      <w:r>
        <w:rPr>
          <w:szCs w:val="24"/>
          <w:lang w:eastAsia="lt-LT"/>
        </w:rPr>
        <w:t>5</w:t>
      </w:r>
      <w:r>
        <w:rPr>
          <w:szCs w:val="24"/>
          <w:lang w:eastAsia="lt-LT"/>
        </w:rPr>
        <w:t>. Nustatyti, kad:</w:t>
      </w:r>
    </w:p>
    <w:p>
      <w:pPr>
        <w:suppressAutoHyphens/>
        <w:ind w:firstLine="709"/>
        <w:jc w:val="both"/>
        <w:rPr>
          <w:szCs w:val="24"/>
          <w:lang w:eastAsia="lt-LT"/>
        </w:rPr>
      </w:pPr>
      <w:r>
        <w:rPr>
          <w:szCs w:val="24"/>
          <w:lang w:eastAsia="lt-LT"/>
        </w:rPr>
        <w:t>5.1</w:t>
      </w:r>
      <w:r>
        <w:rPr>
          <w:szCs w:val="24"/>
          <w:lang w:eastAsia="lt-LT"/>
        </w:rPr>
        <w:t>. šis nutarimas, išskyrus 4 punktą, įsigalioja 2018 m. gegužės 1 d.;</w:t>
      </w:r>
    </w:p>
    <w:p>
      <w:pPr>
        <w:suppressAutoHyphens/>
        <w:ind w:firstLine="709"/>
        <w:jc w:val="both"/>
        <w:rPr>
          <w:szCs w:val="24"/>
          <w:lang w:eastAsia="lt-LT"/>
        </w:rPr>
      </w:pPr>
      <w:r>
        <w:rPr>
          <w:szCs w:val="24"/>
          <w:lang w:eastAsia="lt-LT"/>
        </w:rPr>
        <w:t>5.2</w:t>
      </w:r>
      <w:r>
        <w:rPr>
          <w:szCs w:val="24"/>
          <w:lang w:eastAsia="lt-LT"/>
        </w:rPr>
        <w:t>. šio nutarimo 4 punktas įsigalioja 2018 m. lapkričio 1 d.</w:t>
      </w:r>
    </w:p>
    <w:p>
      <w:pPr>
        <w:suppressAutoHyphens/>
        <w:ind w:firstLine="720"/>
        <w:jc w:val="both"/>
        <w:rPr>
          <w:szCs w:val="24"/>
          <w:lang w:eastAsia="lt-LT"/>
        </w:rPr>
      </w:pPr>
    </w:p>
    <w:p>
      <w:pPr>
        <w:tabs>
          <w:tab w:val="center" w:pos="-7800"/>
          <w:tab w:val="left" w:pos="6237"/>
          <w:tab w:val="right" w:pos="8306"/>
        </w:tabs>
      </w:pPr>
    </w:p>
    <w:p>
      <w:pPr>
        <w:tabs>
          <w:tab w:val="center" w:pos="-7800"/>
          <w:tab w:val="left" w:pos="6237"/>
          <w:tab w:val="right" w:pos="8306"/>
        </w:tabs>
      </w:pPr>
    </w:p>
    <w:p>
      <w:pPr>
        <w:tabs>
          <w:tab w:val="center" w:pos="-7800"/>
          <w:tab w:val="left" w:pos="6237"/>
          <w:tab w:val="right" w:pos="8306"/>
        </w:tabs>
        <w:rPr>
          <w:lang w:eastAsia="lt-LT"/>
        </w:rPr>
      </w:pPr>
      <w:r>
        <w:rPr>
          <w:lang w:eastAsia="lt-LT"/>
        </w:rPr>
        <w:t>Ministras Pirmininkas</w:t>
        <w:tab/>
      </w:r>
    </w:p>
    <w:p>
      <w:pPr>
        <w:tabs>
          <w:tab w:val="center" w:pos="-7800"/>
          <w:tab w:val="left" w:pos="6237"/>
          <w:tab w:val="right" w:pos="8306"/>
        </w:tabs>
        <w:rPr>
          <w:lang w:eastAsia="lt-LT"/>
        </w:rPr>
      </w:pPr>
    </w:p>
    <w:p>
      <w:pPr>
        <w:tabs>
          <w:tab w:val="center" w:pos="-7800"/>
          <w:tab w:val="left" w:pos="6237"/>
          <w:tab w:val="right" w:pos="8306"/>
        </w:tabs>
        <w:rPr>
          <w:lang w:eastAsia="lt-LT"/>
        </w:rPr>
      </w:pPr>
    </w:p>
    <w:p>
      <w:pPr>
        <w:tabs>
          <w:tab w:val="center" w:pos="-7800"/>
          <w:tab w:val="left" w:pos="6237"/>
          <w:tab w:val="right" w:pos="8306"/>
        </w:tabs>
        <w:rPr>
          <w:lang w:eastAsia="lt-LT"/>
        </w:rPr>
      </w:pPr>
    </w:p>
    <w:p>
      <w:pPr>
        <w:tabs>
          <w:tab w:val="center" w:pos="-7800"/>
          <w:tab w:val="left" w:pos="6237"/>
          <w:tab w:val="right" w:pos="8306"/>
        </w:tabs>
        <w:rPr>
          <w:lang w:eastAsia="lt-LT"/>
        </w:rPr>
      </w:pPr>
      <w:r>
        <w:rPr>
          <w:lang w:eastAsia="lt-LT"/>
        </w:rPr>
        <w:t>Susisiekimo ministras</w:t>
        <w:tab/>
      </w:r>
    </w:p>
    <w:p/>
    <w:sectPr>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701" w:header="567" w:footer="567" w:gutter="0"/>
      <w:cols w:space="1296"/>
      <w:titlePg/>
    </w:sectPr>
  </w:body>
</w:document>
</file>

<file path=word/endnotes.xml><?xml version="1.0" encoding="utf-8"?>
<w:end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mbria Math">
    <w:panose1 w:val="02040503050406030204"/>
    <w:charset w:val="BA"/>
    <w:family w:val="roman"/>
    <w:pitch w:val="variable"/>
    <w:sig w:usb0="E00002FF" w:usb1="420024FF" w:usb2="00000000" w:usb3="00000000" w:csb0="0000019F" w:csb1="00000000"/>
  </w:font>
  <w:font w:name="Courier New">
    <w:panose1 w:val="02070309020205020404"/>
    <w:charset w:val="BA"/>
    <w:family w:val="modern"/>
    <w:pitch w:val="fixed"/>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153"/>
        <w:tab w:val="right" w:pos="8306"/>
      </w:tabs>
      <w:rPr>
        <w:lang w:eastAsia="lt-LT"/>
      </w:rPr>
    </w:pPr>
  </w:p>
</w:ftr>
</file>

<file path=word/footer2.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153"/>
        <w:tab w:val="right" w:pos="8306"/>
      </w:tabs>
      <w:rPr>
        <w:lang w:eastAsia="lt-LT"/>
      </w:rPr>
    </w:pPr>
  </w:p>
</w:ftr>
</file>

<file path=word/footer3.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153"/>
        <w:tab w:val="right" w:pos="8306"/>
      </w:tabs>
      <w:rPr>
        <w:lang w:eastAsia="lt-LT"/>
      </w:rPr>
    </w:pPr>
  </w:p>
</w:ftr>
</file>

<file path=word/footnotes.xml><?xml version="1.0" encoding="utf-8"?>
<w:foot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uto" w:vAnchor="text" w:hAnchor="margin" w:xAlign="center" w:y="1"/>
      <w:tabs>
        <w:tab w:val="center" w:pos="4153"/>
        <w:tab w:val="right" w:pos="8306"/>
      </w:tabs>
      <w:spacing w:after="160" w:line="259" w:lineRule="auto"/>
      <w:rPr>
        <w:lang w:eastAsia="lt-LT"/>
      </w:rPr>
    </w:pPr>
    <w:r>
      <w:rPr>
        <w:lang w:eastAsia="lt-LT"/>
      </w:rPr>
      <w:fldChar w:fldCharType="begin"/>
    </w:r>
    <w:r>
      <w:rPr>
        <w:lang w:eastAsia="lt-LT"/>
      </w:rPr>
      <w:instrText xml:space="preserve">PAGE  </w:instrText>
    </w:r>
    <w:r>
      <w:rPr>
        <w:lang w:eastAsia="lt-LT"/>
      </w:rPr>
      <w:fldChar w:fldCharType="end"/>
    </w:r>
  </w:p>
  <w:p>
    <w:pPr>
      <w:tabs>
        <w:tab w:val="center" w:pos="4153"/>
        <w:tab w:val="right" w:pos="8306"/>
      </w:tabs>
      <w:spacing w:after="160" w:line="259" w:lineRule="auto"/>
      <w:rPr>
        <w:lang w:eastAsia="lt-LT"/>
      </w:rPr>
    </w:pPr>
  </w:p>
</w:hdr>
</file>

<file path=word/header2.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uto" w:vAnchor="text" w:hAnchor="margin" w:xAlign="center" w:y="1"/>
      <w:tabs>
        <w:tab w:val="center" w:pos="4153"/>
        <w:tab w:val="right" w:pos="8306"/>
      </w:tabs>
      <w:spacing w:after="160" w:line="259" w:lineRule="auto"/>
      <w:rPr>
        <w:lang w:eastAsia="lt-LT"/>
      </w:rPr>
    </w:pPr>
    <w:r>
      <w:rPr>
        <w:lang w:eastAsia="lt-LT"/>
      </w:rPr>
      <w:fldChar w:fldCharType="begin"/>
    </w:r>
    <w:r>
      <w:rPr>
        <w:lang w:eastAsia="lt-LT"/>
      </w:rPr>
      <w:instrText xml:space="preserve">PAGE  </w:instrText>
    </w:r>
    <w:r>
      <w:rPr>
        <w:lang w:eastAsia="lt-LT"/>
      </w:rPr>
      <w:fldChar w:fldCharType="separate"/>
    </w:r>
    <w:r>
      <w:rPr>
        <w:lang w:eastAsia="lt-LT"/>
      </w:rPr>
      <w:t>6</w:t>
    </w:r>
    <w:r>
      <w:rPr>
        <w:lang w:eastAsia="lt-LT"/>
      </w:rPr>
      <w:fldChar w:fldCharType="end"/>
    </w:r>
  </w:p>
  <w:p>
    <w:pPr>
      <w:tabs>
        <w:tab w:val="center" w:pos="4153"/>
        <w:tab w:val="right" w:pos="8306"/>
      </w:tabs>
      <w:spacing w:after="160" w:line="259" w:lineRule="auto"/>
      <w:rPr>
        <w:lang w:eastAsia="lt-LT"/>
      </w:rPr>
    </w:pPr>
  </w:p>
</w:hdr>
</file>

<file path=word/header3.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986"/>
        <w:tab w:val="right" w:pos="9972"/>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view w:val="normal"/>
  <w:zoom w:percent="100"/>
  <w:defaultTabStop w:val="1296"/>
  <w:hyphenationZone w:val="396"/>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3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w:divs>
    <w:div w:id="32854620">
      <w:bodyDiv w:val="1"/>
      <w:marLeft w:val="0"/>
      <w:marRight w:val="0"/>
      <w:marTop w:val="0"/>
      <w:marBottom w:val="0"/>
      <w:divBdr>
        <w:top w:val="none" w:sz="0" w:space="0" w:color="auto"/>
        <w:left w:val="none" w:sz="0" w:space="0" w:color="auto"/>
        <w:bottom w:val="none" w:sz="0" w:space="0" w:color="auto"/>
        <w:right w:val="none" w:sz="0" w:space="0" w:color="auto"/>
      </w:divBdr>
    </w:div>
    <w:div w:id="35858564">
      <w:bodyDiv w:val="1"/>
      <w:marLeft w:val="0"/>
      <w:marRight w:val="0"/>
      <w:marTop w:val="0"/>
      <w:marBottom w:val="0"/>
      <w:divBdr>
        <w:top w:val="none" w:sz="0" w:space="0" w:color="auto"/>
        <w:left w:val="none" w:sz="0" w:space="0" w:color="auto"/>
        <w:bottom w:val="none" w:sz="0" w:space="0" w:color="auto"/>
        <w:right w:val="none" w:sz="0" w:space="0" w:color="auto"/>
      </w:divBdr>
      <w:divsChild>
        <w:div w:id="1454711150">
          <w:marLeft w:val="0"/>
          <w:marRight w:val="0"/>
          <w:marTop w:val="0"/>
          <w:marBottom w:val="0"/>
          <w:divBdr>
            <w:top w:val="none" w:sz="0" w:space="0" w:color="auto"/>
            <w:left w:val="none" w:sz="0" w:space="0" w:color="auto"/>
            <w:bottom w:val="none" w:sz="0" w:space="0" w:color="auto"/>
            <w:right w:val="none" w:sz="0" w:space="0" w:color="auto"/>
          </w:divBdr>
        </w:div>
        <w:div w:id="357776784">
          <w:marLeft w:val="0"/>
          <w:marRight w:val="0"/>
          <w:marTop w:val="0"/>
          <w:marBottom w:val="0"/>
          <w:divBdr>
            <w:top w:val="none" w:sz="0" w:space="0" w:color="auto"/>
            <w:left w:val="none" w:sz="0" w:space="0" w:color="auto"/>
            <w:bottom w:val="none" w:sz="0" w:space="0" w:color="auto"/>
            <w:right w:val="none" w:sz="0" w:space="0" w:color="auto"/>
          </w:divBdr>
        </w:div>
        <w:div w:id="1336028949">
          <w:marLeft w:val="0"/>
          <w:marRight w:val="0"/>
          <w:marTop w:val="0"/>
          <w:marBottom w:val="0"/>
          <w:divBdr>
            <w:top w:val="none" w:sz="0" w:space="0" w:color="auto"/>
            <w:left w:val="none" w:sz="0" w:space="0" w:color="auto"/>
            <w:bottom w:val="none" w:sz="0" w:space="0" w:color="auto"/>
            <w:right w:val="none" w:sz="0" w:space="0" w:color="auto"/>
          </w:divBdr>
        </w:div>
        <w:div w:id="1184786806">
          <w:marLeft w:val="0"/>
          <w:marRight w:val="0"/>
          <w:marTop w:val="0"/>
          <w:marBottom w:val="0"/>
          <w:divBdr>
            <w:top w:val="none" w:sz="0" w:space="0" w:color="auto"/>
            <w:left w:val="none" w:sz="0" w:space="0" w:color="auto"/>
            <w:bottom w:val="none" w:sz="0" w:space="0" w:color="auto"/>
            <w:right w:val="none" w:sz="0" w:space="0" w:color="auto"/>
          </w:divBdr>
        </w:div>
        <w:div w:id="2131822622">
          <w:marLeft w:val="0"/>
          <w:marRight w:val="0"/>
          <w:marTop w:val="0"/>
          <w:marBottom w:val="0"/>
          <w:divBdr>
            <w:top w:val="none" w:sz="0" w:space="0" w:color="auto"/>
            <w:left w:val="none" w:sz="0" w:space="0" w:color="auto"/>
            <w:bottom w:val="none" w:sz="0" w:space="0" w:color="auto"/>
            <w:right w:val="none" w:sz="0" w:space="0" w:color="auto"/>
          </w:divBdr>
        </w:div>
        <w:div w:id="1979802061">
          <w:marLeft w:val="0"/>
          <w:marRight w:val="0"/>
          <w:marTop w:val="0"/>
          <w:marBottom w:val="0"/>
          <w:divBdr>
            <w:top w:val="none" w:sz="0" w:space="0" w:color="auto"/>
            <w:left w:val="none" w:sz="0" w:space="0" w:color="auto"/>
            <w:bottom w:val="none" w:sz="0" w:space="0" w:color="auto"/>
            <w:right w:val="none" w:sz="0" w:space="0" w:color="auto"/>
          </w:divBdr>
        </w:div>
        <w:div w:id="579487028">
          <w:marLeft w:val="0"/>
          <w:marRight w:val="0"/>
          <w:marTop w:val="0"/>
          <w:marBottom w:val="0"/>
          <w:divBdr>
            <w:top w:val="none" w:sz="0" w:space="0" w:color="auto"/>
            <w:left w:val="none" w:sz="0" w:space="0" w:color="auto"/>
            <w:bottom w:val="none" w:sz="0" w:space="0" w:color="auto"/>
            <w:right w:val="none" w:sz="0" w:space="0" w:color="auto"/>
          </w:divBdr>
        </w:div>
      </w:divsChild>
    </w:div>
    <w:div w:id="45107191">
      <w:bodyDiv w:val="1"/>
      <w:marLeft w:val="0"/>
      <w:marRight w:val="0"/>
      <w:marTop w:val="0"/>
      <w:marBottom w:val="0"/>
      <w:divBdr>
        <w:top w:val="none" w:sz="0" w:space="0" w:color="auto"/>
        <w:left w:val="none" w:sz="0" w:space="0" w:color="auto"/>
        <w:bottom w:val="none" w:sz="0" w:space="0" w:color="auto"/>
        <w:right w:val="none" w:sz="0" w:space="0" w:color="auto"/>
      </w:divBdr>
    </w:div>
    <w:div w:id="72513696">
      <w:bodyDiv w:val="1"/>
      <w:marLeft w:val="0"/>
      <w:marRight w:val="0"/>
      <w:marTop w:val="0"/>
      <w:marBottom w:val="0"/>
      <w:divBdr>
        <w:top w:val="none" w:sz="0" w:space="0" w:color="auto"/>
        <w:left w:val="none" w:sz="0" w:space="0" w:color="auto"/>
        <w:bottom w:val="none" w:sz="0" w:space="0" w:color="auto"/>
        <w:right w:val="none" w:sz="0" w:space="0" w:color="auto"/>
      </w:divBdr>
    </w:div>
    <w:div w:id="375547484">
      <w:bodyDiv w:val="1"/>
      <w:marLeft w:val="0"/>
      <w:marRight w:val="0"/>
      <w:marTop w:val="0"/>
      <w:marBottom w:val="0"/>
      <w:divBdr>
        <w:top w:val="none" w:sz="0" w:space="0" w:color="auto"/>
        <w:left w:val="none" w:sz="0" w:space="0" w:color="auto"/>
        <w:bottom w:val="none" w:sz="0" w:space="0" w:color="auto"/>
        <w:right w:val="none" w:sz="0" w:space="0" w:color="auto"/>
      </w:divBdr>
    </w:div>
    <w:div w:id="734550446">
      <w:bodyDiv w:val="1"/>
      <w:marLeft w:val="0"/>
      <w:marRight w:val="0"/>
      <w:marTop w:val="0"/>
      <w:marBottom w:val="0"/>
      <w:divBdr>
        <w:top w:val="none" w:sz="0" w:space="0" w:color="auto"/>
        <w:left w:val="none" w:sz="0" w:space="0" w:color="auto"/>
        <w:bottom w:val="none" w:sz="0" w:space="0" w:color="auto"/>
        <w:right w:val="none" w:sz="0" w:space="0" w:color="auto"/>
      </w:divBdr>
    </w:div>
    <w:div w:id="935986716">
      <w:bodyDiv w:val="1"/>
      <w:marLeft w:val="0"/>
      <w:marRight w:val="0"/>
      <w:marTop w:val="0"/>
      <w:marBottom w:val="0"/>
      <w:divBdr>
        <w:top w:val="none" w:sz="0" w:space="0" w:color="auto"/>
        <w:left w:val="none" w:sz="0" w:space="0" w:color="auto"/>
        <w:bottom w:val="none" w:sz="0" w:space="0" w:color="auto"/>
        <w:right w:val="none" w:sz="0" w:space="0" w:color="auto"/>
      </w:divBdr>
    </w:div>
    <w:div w:id="939989990">
      <w:bodyDiv w:val="1"/>
      <w:marLeft w:val="0"/>
      <w:marRight w:val="0"/>
      <w:marTop w:val="0"/>
      <w:marBottom w:val="0"/>
      <w:divBdr>
        <w:top w:val="none" w:sz="0" w:space="0" w:color="auto"/>
        <w:left w:val="none" w:sz="0" w:space="0" w:color="auto"/>
        <w:bottom w:val="none" w:sz="0" w:space="0" w:color="auto"/>
        <w:right w:val="none" w:sz="0" w:space="0" w:color="auto"/>
      </w:divBdr>
    </w:div>
    <w:div w:id="1007637483">
      <w:bodyDiv w:val="1"/>
      <w:marLeft w:val="0"/>
      <w:marRight w:val="0"/>
      <w:marTop w:val="0"/>
      <w:marBottom w:val="0"/>
      <w:divBdr>
        <w:top w:val="none" w:sz="0" w:space="0" w:color="auto"/>
        <w:left w:val="none" w:sz="0" w:space="0" w:color="auto"/>
        <w:bottom w:val="none" w:sz="0" w:space="0" w:color="auto"/>
        <w:right w:val="none" w:sz="0" w:space="0" w:color="auto"/>
      </w:divBdr>
    </w:div>
    <w:div w:id="1024357145">
      <w:bodyDiv w:val="1"/>
      <w:marLeft w:val="0"/>
      <w:marRight w:val="0"/>
      <w:marTop w:val="0"/>
      <w:marBottom w:val="0"/>
      <w:divBdr>
        <w:top w:val="none" w:sz="0" w:space="0" w:color="auto"/>
        <w:left w:val="none" w:sz="0" w:space="0" w:color="auto"/>
        <w:bottom w:val="none" w:sz="0" w:space="0" w:color="auto"/>
        <w:right w:val="none" w:sz="0" w:space="0" w:color="auto"/>
      </w:divBdr>
    </w:div>
    <w:div w:id="1107192313">
      <w:bodyDiv w:val="1"/>
      <w:marLeft w:val="0"/>
      <w:marRight w:val="0"/>
      <w:marTop w:val="0"/>
      <w:marBottom w:val="0"/>
      <w:divBdr>
        <w:top w:val="none" w:sz="0" w:space="0" w:color="auto"/>
        <w:left w:val="none" w:sz="0" w:space="0" w:color="auto"/>
        <w:bottom w:val="none" w:sz="0" w:space="0" w:color="auto"/>
        <w:right w:val="none" w:sz="0" w:space="0" w:color="auto"/>
      </w:divBdr>
    </w:div>
    <w:div w:id="1139685160">
      <w:bodyDiv w:val="1"/>
      <w:marLeft w:val="0"/>
      <w:marRight w:val="0"/>
      <w:marTop w:val="0"/>
      <w:marBottom w:val="0"/>
      <w:divBdr>
        <w:top w:val="none" w:sz="0" w:space="0" w:color="auto"/>
        <w:left w:val="none" w:sz="0" w:space="0" w:color="auto"/>
        <w:bottom w:val="none" w:sz="0" w:space="0" w:color="auto"/>
        <w:right w:val="none" w:sz="0" w:space="0" w:color="auto"/>
      </w:divBdr>
    </w:div>
    <w:div w:id="1383821730">
      <w:bodyDiv w:val="1"/>
      <w:marLeft w:val="0"/>
      <w:marRight w:val="0"/>
      <w:marTop w:val="0"/>
      <w:marBottom w:val="0"/>
      <w:divBdr>
        <w:top w:val="none" w:sz="0" w:space="0" w:color="auto"/>
        <w:left w:val="none" w:sz="0" w:space="0" w:color="auto"/>
        <w:bottom w:val="none" w:sz="0" w:space="0" w:color="auto"/>
        <w:right w:val="none" w:sz="0" w:space="0" w:color="auto"/>
      </w:divBdr>
    </w:div>
    <w:div w:id="1537161981">
      <w:bodyDiv w:val="1"/>
      <w:marLeft w:val="0"/>
      <w:marRight w:val="0"/>
      <w:marTop w:val="0"/>
      <w:marBottom w:val="0"/>
      <w:divBdr>
        <w:top w:val="none" w:sz="0" w:space="0" w:color="auto"/>
        <w:left w:val="none" w:sz="0" w:space="0" w:color="auto"/>
        <w:bottom w:val="none" w:sz="0" w:space="0" w:color="auto"/>
        <w:right w:val="none" w:sz="0" w:space="0" w:color="auto"/>
      </w:divBdr>
    </w:div>
    <w:div w:id="1596859953">
      <w:bodyDiv w:val="1"/>
      <w:marLeft w:val="0"/>
      <w:marRight w:val="0"/>
      <w:marTop w:val="0"/>
      <w:marBottom w:val="0"/>
      <w:divBdr>
        <w:top w:val="none" w:sz="0" w:space="0" w:color="auto"/>
        <w:left w:val="none" w:sz="0" w:space="0" w:color="auto"/>
        <w:bottom w:val="none" w:sz="0" w:space="0" w:color="auto"/>
        <w:right w:val="none" w:sz="0" w:space="0" w:color="auto"/>
      </w:divBdr>
    </w:div>
    <w:div w:id="1628121221">
      <w:bodyDiv w:val="1"/>
      <w:marLeft w:val="0"/>
      <w:marRight w:val="0"/>
      <w:marTop w:val="0"/>
      <w:marBottom w:val="0"/>
      <w:divBdr>
        <w:top w:val="none" w:sz="0" w:space="0" w:color="auto"/>
        <w:left w:val="none" w:sz="0" w:space="0" w:color="auto"/>
        <w:bottom w:val="none" w:sz="0" w:space="0" w:color="auto"/>
        <w:right w:val="none" w:sz="0" w:space="0" w:color="auto"/>
      </w:divBdr>
    </w:div>
    <w:div w:id="1676683939">
      <w:bodyDiv w:val="1"/>
      <w:marLeft w:val="0"/>
      <w:marRight w:val="0"/>
      <w:marTop w:val="0"/>
      <w:marBottom w:val="0"/>
      <w:divBdr>
        <w:top w:val="none" w:sz="0" w:space="0" w:color="auto"/>
        <w:left w:val="none" w:sz="0" w:space="0" w:color="auto"/>
        <w:bottom w:val="none" w:sz="0" w:space="0" w:color="auto"/>
        <w:right w:val="none" w:sz="0" w:space="0" w:color="auto"/>
      </w:divBdr>
    </w:div>
    <w:div w:id="1877887436">
      <w:bodyDiv w:val="1"/>
      <w:marLeft w:val="0"/>
      <w:marRight w:val="0"/>
      <w:marTop w:val="0"/>
      <w:marBottom w:val="0"/>
      <w:divBdr>
        <w:top w:val="none" w:sz="0" w:space="0" w:color="auto"/>
        <w:left w:val="none" w:sz="0" w:space="0" w:color="auto"/>
        <w:bottom w:val="none" w:sz="0" w:space="0" w:color="auto"/>
        <w:right w:val="none" w:sz="0" w:space="0" w:color="auto"/>
      </w:divBdr>
    </w:div>
    <w:div w:id="21220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70B69-8294-4946-9D10-E940B83B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2473</Words>
  <Characters>17785</Characters>
  <Application>Microsoft Office Word</Application>
  <DocSecurity>4</DocSecurity>
  <Lines>335</Lines>
  <Paragraphs>127</Paragraphs>
  <ScaleCrop>false</ScaleCrop>
  <HeadingPairs>
    <vt:vector size="2" baseType="variant">
      <vt:variant>
        <vt:lpstr>Pavadinimas</vt:lpstr>
      </vt:variant>
      <vt:variant>
        <vt:i4>1</vt:i4>
      </vt:variant>
    </vt:vector>
  </HeadingPairs>
  <TitlesOfParts>
    <vt:vector size="1" baseType="lpstr">
      <vt:lpstr/>
    </vt:vector>
  </TitlesOfParts>
  <Company>Hewlett-Packard</Company>
  <LinksUpToDate>false</LinksUpToDate>
  <CharactersWithSpaces>20131</CharactersWithSpaces>
  <SharedDoc>false</SharedDoc>
  <HyperlinkBase/>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2018-02-20T07:39:00Z</dcterms:created>
  <dc:creator>Andrius Teškevičius</dc:creator>
  <lastModifiedBy>adlibuser</lastModifiedBy>
  <lastPrinted>2018-02-07T11:39:00Z</lastPrinted>
  <dcterms:modified xsi:type="dcterms:W3CDTF">2018-02-20T07:39:00Z</dcterms:modified>
  <revision>2</revision>
</coreProperties>
</file>