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BFDBFE" w:sz="4"/>
          <w:left w:val="single" w:color="BFDBFE" w:sz="4"/>
          <w:bottom w:val="single" w:color="BFDBFE" w:sz="4"/>
          <w:right w:val="single" w:color="BFDBFE" w:sz="4"/>
          <w:insideH w:val="none" w:color="auto" w:sz="0"/>
          <w:insideV w:val="single" w:color="BFDBFE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Service Provider: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Everest International Management Consultancy &amp; Training Agency Pvt. Ltd. (EIMCTA).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Client: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The organization desiring to take the services of EIMCTA.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सेवा प्रदायक: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एभरेष्ट इन्टरनेशनल म्यानेजमेन्ट कन्सल्टेन्सी एण्ड ट्रेनिङ्ग एजेन्सी प्रा. लि.।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ग्राहक: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EIMCTA को सेवा लिन इच्छुक संस्था।</w:t>
            </w:r>
          </w:p>
        </w:tc>
      </w:tr>
    </w:tbl>
    <w:p>
      <w:pPr>
        <w:spacing w:after="160"/>
        <w:jc w:val="left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single" w:color="0A192F" w:sz="24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1. DEFINITIONS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Roboto" w:cs="Roboto" w:eastAsia="Roboto" w:hAnsi="Roboto"/>
                <w:b/>
                <w:bCs/>
                <w:color w:val="B45309"/>
                <w:sz w:val="18"/>
                <w:szCs w:val="18"/>
              </w:rPr>
              <w:t xml:space="preserve">१. परिभाषाहरू</w:t>
            </w:r>
          </w:p>
        </w:tc>
      </w:tr>
    </w:tbl>
    <w:p>
      <w:pPr>
        <w:spacing w:after="80"/>
        <w:jc w:val="left"/>
      </w:pP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none" w:color="auto" w:sz="0"/>
          <w:insideV w:val="single" w:color="E2E8F0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ISO: International Organization for Standardization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SA / KPI: Surveillance Audit / Key Performance Indicator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VAT / TDS: Value Added Tax / Tax Deducted at Source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KYC / Proposal: Know Your Customer / 3-year Service Proposal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ISO: इन्टरनेशनल अर्गनाइजेसन फर स्ट्यान्डर्डाइजेसन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SA / KPI: सर्भिलेन्स अडिट / मुख्य कार्यसम्पादन सूचक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VAT / TDS: भ्याट र स्रोतमा कर कट्टी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KYC / Proposal: ग्राहक पहिचान / ३ वर्षको सेवा प्रस्ताव</w:t>
            </w:r>
          </w:p>
        </w:tc>
      </w:tr>
    </w:tbl>
    <w:p>
      <w:pPr>
        <w:spacing w:after="160"/>
        <w:jc w:val="left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single" w:color="0A192F" w:sz="24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2. SCOPE OF SERVICES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Roboto" w:cs="Roboto" w:eastAsia="Roboto" w:hAnsi="Roboto"/>
                <w:b/>
                <w:bCs/>
                <w:color w:val="B45309"/>
                <w:sz w:val="18"/>
                <w:szCs w:val="18"/>
              </w:rPr>
              <w:t xml:space="preserve">२. सेवाको दायरा</w:t>
            </w:r>
          </w:p>
        </w:tc>
      </w:tr>
    </w:tbl>
    <w:p>
      <w:pPr>
        <w:spacing w:after="80"/>
        <w:jc w:val="left"/>
      </w:pP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none" w:color="auto" w:sz="0"/>
          <w:insideV w:val="single" w:color="E2E8F0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0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6"/>
                <w:szCs w:val="16"/>
              </w:rPr>
              <w:t xml:space="preserve">ENGLISH VERSION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Initial Kick-Off Plan &amp; EOMS Orientation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GAP/SWOT Analysis: Document review &amp; Findings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Re-organize Org Structure &amp; Committees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Printable Items &amp; Maintenance of forms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RALP &amp; DLP Implementation &amp; ERP integration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KUAHA Improvement Program &amp; Data Analysis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ERP System: Configuration &amp; MIS Dashboards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Unit Based Exhibition (UBE) &amp; Evaluations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TNA &amp; CPD Training Need Analysis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Class Observation &amp; Log Deviations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Learner Zoning &amp; Unit-wise targets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Scorecard/KPI &amp; Appraisals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Weekly/Monthly MRM (EOMS Reviews)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Emergency Mock-Up Drills (Fire/Earthquake)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Social Awareness Campaign (SAC) Events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Olympiad: Volunteers &amp; Business Plans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Documentation Control (IP Kit Release)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Suggestion &amp; Feedback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Committee Formation &amp; Action Plans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Good Parenting &amp; Guardian Policy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EOMS Academic Audit &amp; Corrective Actions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ISO Certificate Handover Ceremony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0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6"/>
                <w:szCs w:val="16"/>
              </w:rPr>
              <w:t xml:space="preserve">नेपाली संस्करण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सुरुवाती योजना र ओरियन्टेसन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ग्याप/स्वोट विश्लेषण र नतिजा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संस्थागत संरचना पुनर्गठन र समितिहरू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प्रिन्ट सामग्री मार्गदर्शन र फारमहरू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RALP र DLP कार्यान्वयन तथा ERP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KUAHA सुधार कार्यक्रम र तथ्याङ्क विश्लेषण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ERP प्रणाली कन्फिगरेशन र MIS ड्यासबोर्ड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युनिटमा आधारित प्रदर्शनी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तालिम आवश्यकता विश्लेषण र CPD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कक्षा अवलोकन र त्रुटि अभिलेख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विद्यार्थी जोनिङ र युनिट लक्ष्यहरू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स्कोरकार्ड/KPI कार्यान्वयन र मूल्याङ्कन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साप्ताहिक र मासिक समीक्षा बैठक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आपतकालीन पूर्वतयारी अभ्यास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सामाजिक जनचेतना अभियान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ओलम्पियाड र व्यावसायिक योजना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कागजात व्यवस्थापन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सुझाव तथा प्रतिक्रिया व्यवस्थापन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समिति गठन र कार्ययोजना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असल अभिभावकत्व र नीति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शैक्षिक अडिट र सुधारका कार्यहरू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प्रमाणपत्र हस्तान्तरण समारोह</w:t>
            </w:r>
          </w:p>
        </w:tc>
      </w:tr>
    </w:tbl>
    <w:p>
      <w:pPr>
        <w:spacing w:after="160"/>
        <w:jc w:val="left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single" w:color="0A192F" w:sz="24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3. FINANCIAL TERMS, PENALTIES &amp; EXTRA CHARGES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Roboto" w:cs="Roboto" w:eastAsia="Roboto" w:hAnsi="Roboto"/>
                <w:b/>
                <w:bCs/>
                <w:color w:val="B45309"/>
                <w:sz w:val="18"/>
                <w:szCs w:val="18"/>
              </w:rPr>
              <w:t xml:space="preserve">३. आर्थिक सर्त, जरिवाना तथा अतिरिक्त शुल्क</w:t>
            </w:r>
          </w:p>
        </w:tc>
      </w:tr>
    </w:tbl>
    <w:p>
      <w:pPr>
        <w:spacing w:after="80"/>
        <w:jc w:val="left"/>
      </w:pP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none" w:color="auto" w:sz="0"/>
          <w:insideV w:val="single" w:color="E2E8F0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Validity: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30 days. All amounts in NRs.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Taxes: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13% VAT &amp; TDS additional to service charge.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Travel: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Local &gt;2 hrs: NRs. 2000/hr. Outside Valley: All costs by CLIENT.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वैधता: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३० दिन। सम्पूर्ण रकम नेपाली रुपैयाँमा।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कर: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१३% भ्याट र टीडीएस अतिरिक्त।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भ्रमण: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उपत्यका बाहिरको सम्पूर्ण खर्च ग्राहकले व्यहोर्नुपर्ने।</w:t>
            </w:r>
          </w:p>
        </w:tc>
      </w:tr>
    </w:tbl>
    <w:p>
      <w:pPr>
        <w:spacing w:after="80"/>
        <w:jc w:val="left"/>
      </w:pPr>
    </w:p>
    <w:tbl>
      <w:tblPr>
        <w:tblW w:type="pct" w:w="100%"/>
        <w:tblBorders>
          <w:top w:val="single" w:color="FCD34D" w:sz="4"/>
          <w:left w:val="single" w:color="FCD34D" w:sz="4"/>
          <w:bottom w:val="single" w:color="FCD34D" w:sz="4"/>
          <w:right w:val="single" w:color="FCD34D" w:sz="4"/>
          <w:insideH w:val="none" w:color="auto" w:sz="0"/>
          <w:insideV w:val="single" w:color="FCD34D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BE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Roboto" w:cs="Roboto" w:eastAsia="Roboto" w:hAnsi="Roboto"/>
                <w:b/>
                <w:bCs/>
                <w:color w:val="991B1B"/>
                <w:sz w:val="17"/>
                <w:szCs w:val="17"/>
              </w:rPr>
              <w:t xml:space="preserve">STRICT SCHEDULE PENALTY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Alteration notice must be provided 3 days prior. Failure incurs </w:t>
            </w: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NRs. 16,000 + 13% VAT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 per man-day.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BE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Roboto" w:cs="Roboto" w:eastAsia="Roboto" w:hAnsi="Roboto"/>
                <w:b/>
                <w:bCs/>
                <w:color w:val="991B1B"/>
                <w:sz w:val="17"/>
                <w:szCs w:val="17"/>
              </w:rPr>
              <w:t xml:space="preserve">तालिका परिवर्तन जरिवाना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३ दिन अगावै सूचना नदिएमा प्रति दिन </w:t>
            </w: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रु. १६,००० + १३% भ्याट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 जरिवाना लाग्नेछ।</w:t>
            </w:r>
          </w:p>
        </w:tc>
      </w:tr>
    </w:tbl>
    <w:p>
      <w:pPr>
        <w:spacing w:after="160"/>
        <w:jc w:val="left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single" w:color="0A192F" w:sz="24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4. OBLIGATIONS &amp; ABSOLUTE LIMITATION OF LIABILITY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Roboto" w:cs="Roboto" w:eastAsia="Roboto" w:hAnsi="Roboto"/>
                <w:b/>
                <w:bCs/>
                <w:color w:val="B45309"/>
                <w:sz w:val="18"/>
                <w:szCs w:val="18"/>
              </w:rPr>
              <w:t xml:space="preserve">४. दायित्व र सीमित जवाफदेहिता</w:t>
            </w:r>
          </w:p>
        </w:tc>
      </w:tr>
    </w:tbl>
    <w:p>
      <w:pPr>
        <w:spacing w:after="80"/>
        <w:jc w:val="left"/>
      </w:pP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none" w:color="auto" w:sz="0"/>
          <w:insideV w:val="single" w:color="E2E8F0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Client Data Accuracy: EIMCTA takes no responsibility for additional costs, delays, or non-delivery caused by incorrect or altered client information.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Compliance &amp; Legal Liability: CLIENT is solely responsible for corrective actions, ISO implementation, and certificate validity.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Resource Allocation: EIMCTA holds exclusive right to select accreditation body, auditors, trainers, and certification body.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Right to Dismissal: EIMCTA reserves the right to dismiss this Contract before collection of the first payment.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तथ्याङ्क सत्यता: ग्राहकले दिएको जानकारी गलत भएमा हुने थप लागत वा ढिलाइको जिम्मेवारी EIMCTA ले लिने छैन।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अनुपालन र कानुनी दायित्व: सुधारका कार्यहरू, ISO कार्यान्वयन र प्रमाणपत्र वैधताको जिम्मेवारी ग्राहकको हुनेछ।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स्रोत छनोट: अडिटर, ट्रेनर र प्रमाणीकरण निकाय छनोट गर्ने अधिकार EIMCTA सँग सुरक्षित छ।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खारेजीको अधिकार: पहिलो भुक्तानी प्राप्त हुनु अघि सम्झौता खारेज गर्ने अधिकार EIMCTA मा निहित छ।</w:t>
            </w:r>
          </w:p>
        </w:tc>
      </w:tr>
    </w:tbl>
    <w:p>
      <w:pPr>
        <w:spacing w:after="160"/>
        <w:jc w:val="left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single" w:color="0A192F" w:sz="24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5. INTELLECTUAL PROPERTY &amp; NON-DISCLOSURE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Roboto" w:cs="Roboto" w:eastAsia="Roboto" w:hAnsi="Roboto"/>
                <w:b/>
                <w:bCs/>
                <w:color w:val="B45309"/>
                <w:sz w:val="18"/>
                <w:szCs w:val="18"/>
              </w:rPr>
              <w:t xml:space="preserve">५. बौद्धिक सम्पत्ति र गोपनीयता संरक्षण</w:t>
            </w:r>
          </w:p>
        </w:tc>
      </w:tr>
    </w:tbl>
    <w:p>
      <w:pPr>
        <w:spacing w:after="80"/>
        <w:jc w:val="left"/>
      </w:pP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none" w:color="auto" w:sz="0"/>
          <w:insideV w:val="single" w:color="E2E8F0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Absolute Ownership: All information, records, SOPs, and materials provided are the exclusive intellectual property of EIMCTA.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Strict Prohibition: CLIENT is prohibited from copying, communicating, or transmitting materials to any third party without written consent.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Legal Action: Unauthorized disclosure may result in escalation to District Court for enforcement and judgment.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Indefinite Survival: Confidentiality obligations survive termination and continue indefinitely.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पूर्ण स्वामित्व: EIMCTA ले प्रदान गरेका सम्पूर्ण कागजात, SOPs र विवरणहरू EIMCTA को बौद्धिक सम्पत्ति हुन्।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कडा निषेध: लिखित स्वीकृति बिना सामग्री तेस्रो पक्षलाई बाँड्न वा प्रतिलिपि गर्न निषेध छ।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कानुनी कारबाही: अनाधिकृत प्रयोग भएमा जिल्ला अदालतमा कानुनी कारबाही अगाडि बढाउन सकिनेछ।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निरन्तरता: गोपनीयताको नियम सम्झौता सकिएपछि पनि लागू रहनेछ।</w:t>
            </w:r>
          </w:p>
        </w:tc>
      </w:tr>
    </w:tbl>
    <w:p>
      <w:pPr>
        <w:spacing w:after="160"/>
        <w:jc w:val="left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single" w:color="0A192F" w:sz="24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6. CONTRACT TERMINATION &amp; DISPUTE RESOLUTION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Roboto" w:cs="Roboto" w:eastAsia="Roboto" w:hAnsi="Roboto"/>
                <w:b/>
                <w:bCs/>
                <w:color w:val="B45309"/>
                <w:sz w:val="18"/>
                <w:szCs w:val="18"/>
              </w:rPr>
              <w:t xml:space="preserve">६. सम्झौता खारेजी र विवाद समाधान</w:t>
            </w:r>
          </w:p>
        </w:tc>
      </w:tr>
    </w:tbl>
    <w:p>
      <w:pPr>
        <w:spacing w:after="80"/>
        <w:jc w:val="left"/>
      </w:pP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none" w:color="auto" w:sz="0"/>
          <w:insideV w:val="single" w:color="E2E8F0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Termination by CLIENT: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If the CLIENT wishes to terminate this Contract, they must provide a 60-day prior written notice to EIMCTA.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Governing Law: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This Agreement is governed by the laws of Nepal. Disputes shall first be attempted amicably. If unresolved, it proceeds to Arbitration Act 2053 BS.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ग्राहकद्वारा खारेजी: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ग्राहकले सम्झौता खारेज गर्न चाहेमा ६० दिन अगावै EIMCTA लाई लिखित सूचना दिनुपर्नेछ।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कानुन र अधिकारक्षेत्र: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यो सम्झौता नेपालको कानुन बमोजिम हुनेछ। विवादहरू सुरुमा आपसी समझदारीमा समाधान गरिनेछ।</w:t>
            </w:r>
          </w:p>
        </w:tc>
      </w:tr>
    </w:tbl>
    <w:p>
      <w:pPr>
        <w:spacing w:after="160"/>
        <w:jc w:val="left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single" w:color="0A192F" w:sz="24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7. SIGNATURES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Roboto" w:cs="Roboto" w:eastAsia="Roboto" w:hAnsi="Roboto"/>
                <w:b/>
                <w:bCs/>
                <w:color w:val="B45309"/>
                <w:sz w:val="18"/>
                <w:szCs w:val="18"/>
              </w:rPr>
              <w:t xml:space="preserve">७. हस्ताक्षर</w:t>
            </w:r>
          </w:p>
        </w:tc>
      </w:tr>
    </w:tbl>
    <w:p>
      <w:pPr>
        <w:spacing w:after="80"/>
        <w:jc w:val="left"/>
      </w:pP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auto" w:sz="0"/>
          <w:insideV w:val="single" w:color="CBD5E1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EIMCTA</w:t>
            </w:r>
          </w:p>
          <w:p>
            <w:pPr>
              <w:spacing w:after="700"/>
              <w:jc w:val="center"/>
            </w:pPr>
            <w:r>
              <w:rPr>
                <w:rFonts w:ascii="Roboto" w:cs="Roboto" w:eastAsia="Roboto" w:hAnsi="Roboto"/>
                <w:b w:val="false"/>
                <w:bCs w:val="false"/>
                <w:color w:val="64748B"/>
                <w:sz w:val="16"/>
                <w:szCs w:val="16"/>
              </w:rPr>
              <w:t xml:space="preserve">Authorized Signatory</w:t>
            </w:r>
          </w:p>
          <w:p>
            <w:pPr>
              <w:spacing w:after="120" w:line="320"/>
              <w:jc w:val="center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5"/>
                <w:szCs w:val="15"/>
              </w:rPr>
              <w:t xml:space="preserve">Name / Signature / Date / Stamp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THE CLIENT</w:t>
            </w:r>
          </w:p>
          <w:p>
            <w:pPr>
              <w:spacing w:after="700"/>
              <w:jc w:val="center"/>
            </w:pPr>
            <w:r>
              <w:rPr>
                <w:rFonts w:ascii="Roboto" w:cs="Roboto" w:eastAsia="Roboto" w:hAnsi="Roboto"/>
                <w:b w:val="false"/>
                <w:bCs w:val="false"/>
                <w:color w:val="64748B"/>
                <w:sz w:val="16"/>
                <w:szCs w:val="16"/>
              </w:rPr>
              <w:t xml:space="preserve">Authorized Signatory</w:t>
            </w:r>
          </w:p>
          <w:p>
            <w:pPr>
              <w:spacing w:after="120" w:line="320"/>
              <w:jc w:val="center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5"/>
                <w:szCs w:val="15"/>
              </w:rPr>
              <w:t xml:space="preserve">Name / Signature / Date / Stamp</w:t>
            </w:r>
          </w:p>
        </w:tc>
      </w:tr>
    </w:tbl>
    <w:p>
      <w:pPr>
        <w:spacing w:after="160"/>
        <w:jc w:val="left"/>
      </w:pPr>
    </w:p>
    <w:tbl>
      <w:tblPr>
        <w:tblW w:type="pct" w:w="100%"/>
        <w:tblBorders>
          <w:top w:val="single" w:color="BFDBFE" w:sz="4"/>
          <w:left w:val="single" w:color="BFDBFE" w:sz="4"/>
          <w:bottom w:val="single" w:color="BFDBFE" w:sz="4"/>
          <w:right w:val="single" w:color="BFDBF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FF6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line="320"/>
              <w:jc w:val="center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6"/>
                <w:szCs w:val="16"/>
              </w:rPr>
              <w:t xml:space="preserve">This document has been prepared as a bilingual service agreement format for EIMCTA consultancy, training, documentation, and ISO 21001:2018 EOMS support services.</w:t>
            </w:r>
          </w:p>
        </w:tc>
      </w:tr>
    </w:tbl>
    <w:tbl>
      <w:tblPr>
        <w:tblW w:type="pct" w:w="100%"/>
        <w:tblBorders>
          <w:top w:val="single" w:color="E2E8F0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64748B"/>
                <w:sz w:val="14"/>
                <w:szCs w:val="14"/>
              </w:rPr>
              <w:t xml:space="preserve">© Everest International Management Consultancy &amp; Training Agency Pvt. Ltd.</w:t>
            </w:r>
          </w:p>
        </w:tc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80"/>
              <w:jc w:val="right"/>
            </w:pPr>
            <w:r>
              <w:rPr>
                <w:rFonts w:ascii="Roboto" w:cs="Roboto" w:eastAsia="Roboto" w:hAnsi="Roboto"/>
                <w:b w:val="false"/>
                <w:bCs w:val="false"/>
                <w:color w:val="64748B"/>
                <w:sz w:val="14"/>
                <w:szCs w:val="14"/>
              </w:rPr>
              <w:t xml:space="preserve">EIMCTA / ISO-MOU / 2024</w:t>
            </w:r>
          </w:p>
        </w:tc>
      </w:tr>
    </w:tbl>
    <w:sectPr>
      <w:headerReference w:type="default" r:id="rId7"/>
      <w:pgSz w:w="11906" w:h="16838" w:orient="portrait"/>
      <w:pgMar w:top="720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523875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238750" cy="52387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38750" cy="5238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rFonts w:ascii="Roboto" w:cs="Roboto" w:eastAsia="Roboto" w:hAnsi="Roboto"/>
        <w:color w:val="64748B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Roboto" w:cs="Roboto" w:eastAsia="Roboto" w:hAnsi="Roboto"/>
        <w:color w:val="475569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8f4c3ef6f991983d97eb12311a7de6254d563f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SLA Bilingual Terms &amp; Conditions</dc:title>
  <dc:creator>EIMCTA Document Engine</dc:creator>
  <cp:lastModifiedBy>Un-named</cp:lastModifiedBy>
  <cp:revision>1</cp:revision>
  <dcterms:created xsi:type="dcterms:W3CDTF">2026-08-25T11:58:05.556Z</dcterms:created>
  <dcterms:modified xsi:type="dcterms:W3CDTF">2026-08-25T11:58:05.556Z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