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936000" cy="132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yy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32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Custom"/>
        <w:jc w:val="left"/>
      </w:pPr>
      <w:r>
        <w:t>DB-00 — Standard e regole base di progettazione database</w:t>
      </w:r>
    </w:p>
    <w:p>
      <w:pPr>
        <w:pStyle w:val="SubtitleCustom"/>
        <w:jc w:val="left"/>
      </w:pPr>
      <w:r>
        <w:t>Documento guida vincolante per la modellazione dati del progetto Esyy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324"/>
        <w:gridCol w:w="7200"/>
      </w:tblGrid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EDF9"/>
          </w:tcPr>
          <w:p>
            <w:pPr>
              <w:pStyle w:val="BodyTight"/>
            </w:pPr>
            <w:r>
              <w:rPr>
                <w:b/>
                <w:color w:val="22427C"/>
              </w:rPr>
              <w:t>Perimetro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9FBFE"/>
          </w:tcPr>
          <w:p>
            <w:pPr>
              <w:pStyle w:val="BodyTight"/>
            </w:pPr>
            <w:r>
              <w:t>SaaS multi-tenant, produzione, MES, conto lavoro, qualità, tracciabilità, amministrazione tenant e integrazioni ERP.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EDF9"/>
          </w:tcPr>
          <w:p>
            <w:pPr>
              <w:pStyle w:val="BodyTight"/>
            </w:pPr>
            <w:r>
              <w:rPr>
                <w:b/>
                <w:color w:val="22427C"/>
              </w:rPr>
              <w:t>Scopo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9FBFE"/>
          </w:tcPr>
          <w:p>
            <w:pPr>
              <w:pStyle w:val="BodyTight"/>
            </w:pPr>
            <w:r>
              <w:t>Definire regole comuni, nomenclature, chiavi e criteri di governance da seguire prima del modello DB completo.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EDF9"/>
          </w:tcPr>
          <w:p>
            <w:pPr>
              <w:pStyle w:val="BodyTight"/>
            </w:pPr>
            <w:r>
              <w:rPr>
                <w:b/>
                <w:color w:val="22427C"/>
              </w:rPr>
              <w:t>Destinatari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9FBFE"/>
          </w:tcPr>
          <w:p>
            <w:pPr>
              <w:pStyle w:val="BodyTight"/>
            </w:pPr>
            <w:r>
              <w:t>Michael, Larisa, Marit, Ole, Isabell e tutte le future attività di modellazione e sviluppo dati.</w:t>
            </w:r>
          </w:p>
        </w:tc>
      </w:tr>
    </w:tbl>
    <w:p/>
    <w:p>
      <w:pPr>
        <w:pStyle w:val="BodyTight"/>
      </w:pPr>
      <w:r>
        <w:rPr>
          <w:b/>
        </w:rPr>
        <w:t xml:space="preserve">Scopo operativo. </w:t>
      </w:r>
      <w:r>
        <w:t>Questo documento non disegna ancora l’intero ER finale; stabilisce il linguaggio comune, le regole obbligatorie e i margini di autonomia utili a costruire un database coerente, leggibile e manutenibile.</w:t>
      </w:r>
    </w:p>
    <w:p>
      <w:pPr>
        <w:pStyle w:val="BodyTight"/>
      </w:pPr>
      <w:r>
        <w:rPr>
          <w:b/>
        </w:rPr>
        <w:t xml:space="preserve">Principio guida. </w:t>
      </w:r>
      <w:r>
        <w:t>Ogni oggetto dati deve risultare riconoscibile a colpo d’occhio, come avviene nei sistemi ben strutturati: la tabella principale identifica l’oggetto, le tabelle secondarie ne derivano il nome in modo prevedibile, e chiavi/relazioni si leggono senza ambiguità.</w:t>
      </w:r>
    </w:p>
    <w:p>
      <w:r>
        <w:br w:type="page"/>
      </w:r>
    </w:p>
    <w:p>
      <w:pPr>
        <w:pStyle w:val="SectionTitle"/>
        <w:keepNext w:val="1"/>
      </w:pPr>
      <w:r>
        <w:t>Indice</w:t>
      </w:r>
    </w:p>
    <w:p>
      <w:pPr>
        <w:pStyle w:val="BodyTight"/>
        <w:spacing w:before="0" w:after="40" w:line="276" w:lineRule="auto"/>
        <w:ind w:left="227"/>
      </w:pPr>
      <w:r>
        <w:t>1. Principi generali di progettazione</w:t>
      </w:r>
    </w:p>
    <w:p>
      <w:pPr>
        <w:pStyle w:val="BodyTight"/>
        <w:spacing w:before="0" w:after="40" w:line="276" w:lineRule="auto"/>
        <w:ind w:left="227"/>
      </w:pPr>
      <w:r>
        <w:t>2. Regole di naming di tabelle e campi</w:t>
      </w:r>
    </w:p>
    <w:p>
      <w:pPr>
        <w:pStyle w:val="BodyTight"/>
        <w:spacing w:before="0" w:after="40" w:line="276" w:lineRule="auto"/>
        <w:ind w:left="227"/>
      </w:pPr>
      <w:r>
        <w:t>3. Chiavi e identificativi</w:t>
      </w:r>
    </w:p>
    <w:p>
      <w:pPr>
        <w:pStyle w:val="BodyTight"/>
        <w:spacing w:before="0" w:after="40" w:line="276" w:lineRule="auto"/>
        <w:ind w:left="227"/>
      </w:pPr>
      <w:r>
        <w:t>4. Campi standard comuni</w:t>
      </w:r>
    </w:p>
    <w:p>
      <w:pPr>
        <w:pStyle w:val="BodyTight"/>
        <w:spacing w:before="0" w:after="40" w:line="276" w:lineRule="auto"/>
        <w:ind w:left="227"/>
      </w:pPr>
      <w:r>
        <w:t>5. Relazioni, integrità, vincoli e indici</w:t>
      </w:r>
    </w:p>
    <w:p>
      <w:pPr>
        <w:pStyle w:val="BodyTight"/>
        <w:spacing w:before="0" w:after="40" w:line="276" w:lineRule="auto"/>
        <w:ind w:left="227"/>
      </w:pPr>
      <w:r>
        <w:t>6. Versioning, storico e audit</w:t>
      </w:r>
    </w:p>
    <w:p>
      <w:pPr>
        <w:pStyle w:val="BodyTight"/>
        <w:spacing w:before="0" w:after="40" w:line="276" w:lineRule="auto"/>
        <w:ind w:left="227"/>
      </w:pPr>
      <w:r>
        <w:t>7. Linee guida per performance e queryabilità</w:t>
      </w:r>
    </w:p>
    <w:p>
      <w:pPr>
        <w:pStyle w:val="BodyTight"/>
        <w:spacing w:before="0" w:after="40" w:line="276" w:lineRule="auto"/>
        <w:ind w:left="227"/>
      </w:pPr>
      <w:r>
        <w:t>8. Governance operativa durante lo sviluppo</w:t>
      </w:r>
    </w:p>
    <w:p>
      <w:pPr>
        <w:pStyle w:val="BodyTight"/>
        <w:spacing w:before="0" w:after="40" w:line="276" w:lineRule="auto"/>
        <w:ind w:left="227"/>
      </w:pPr>
      <w:r>
        <w:t>9. Esempi modello</w:t>
      </w:r>
    </w:p>
    <w:p>
      <w:pPr>
        <w:pStyle w:val="BodyTight"/>
        <w:spacing w:before="0" w:after="40" w:line="276" w:lineRule="auto"/>
        <w:ind w:left="227"/>
      </w:pPr>
      <w:r>
        <w:t>10. Glossario minimo</w:t>
      </w:r>
    </w:p>
    <w:p>
      <w:pPr>
        <w:pStyle w:val="SectionTitle"/>
        <w:keepNext w:val="1"/>
      </w:pPr>
      <w:r>
        <w:t>1. Principi generali di progettazione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Approccio multi-tenant — </w:t>
      </w:r>
      <w:r>
        <w:t>tutte le entità di dominio e configurazione sono tenant-scoped salvo eccezioni esplicite. Le eccezioni ammesse sono: tabelle tecniche globali di piattaforma, look-up globali condivisi, metadata di sistema e dati super-admin SaaS.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Separazione per natura del dato — </w:t>
      </w:r>
      <w:r>
        <w:t>le strutture devono distinguere chiaramente anagrafiche, configurazioni tenant, entità operative, eventi/log, audit, integrazioni e documenti allegati.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Separazione template vs istanza — </w:t>
      </w:r>
      <w:r>
        <w:t>le strutture di libreria (es. DIBA, cicli, modelli produttivi) non coincidono con le istanze operative reali. L’istanza ODP eredita, ma poi può divergere senza riscrivere il template di origine.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Soft delete selettivo — </w:t>
      </w:r>
      <w:r>
        <w:t>si usa solo dove ha reale utilità di business o recupero. Non va applicato in modo indiscriminato a log, audit, eventi tecnici e tabelle ponte puramente transitorie.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Versioning esplicito — </w:t>
      </w:r>
      <w:r>
        <w:t>gli oggetti versionati non devono essere aggiornati distruggendo il passato. La nuova struttura rilevante genera una nuova versione, con regole precise di validità e stato.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Audit by design — </w:t>
      </w:r>
      <w:r>
        <w:t>ogni oggetto sensibile deve consentire ricostruzione minima di chi, quando e cosa ha modificato. Le decisioni di audit si definiscono a livello di famiglia oggetto, non caso per caso.</w:t>
      </w:r>
    </w:p>
    <w:p>
      <w:pPr>
        <w:pStyle w:val="SubsectionTitle"/>
        <w:keepNext w:val="1"/>
      </w:pPr>
      <w:r>
        <w:t>1.1 Categorie di tabelle ammesse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324"/>
        <w:gridCol w:w="2835"/>
        <w:gridCol w:w="4252"/>
      </w:tblGrid>
      <w:tr>
        <w:trPr>
          <w:tblHeader w:val="true"/>
        </w:trPr>
        <w:tc>
          <w:tcPr>
            <w:tcW w:type="dxa" w:w="3289"/>
            <w:shd w:fill="D9E5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Categoria</w:t>
            </w:r>
          </w:p>
        </w:tc>
        <w:tc>
          <w:tcPr>
            <w:tcW w:type="dxa" w:w="3289"/>
            <w:shd w:fill="D9E5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Scopo</w:t>
            </w:r>
          </w:p>
        </w:tc>
        <w:tc>
          <w:tcPr>
            <w:tcW w:type="dxa" w:w="3289"/>
            <w:shd w:fill="D9E5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Esempi naming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Anagrafiche / master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Oggetti di riferimento riusabili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products, suppliers, work_centers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Configurazioni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Regole tenant o di processo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cfg_tenant_settings, cfg_label_templates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Template versionati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Librerie con versioni distinte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bom_templates, bom_template_versions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Entità operative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Istanze reali del processo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production_orders, production_order_phases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Eventi / storico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Cronologia di stati ed eventi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production_order_events, production_order_status_history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Audit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Traccia modifiche e accessi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audit_entries, audit_login_events</w:t>
            </w:r>
          </w:p>
        </w:tc>
      </w:tr>
      <w:tr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Integrazione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Riconciliazione e mapping ERP</w:t>
            </w:r>
          </w:p>
        </w:tc>
        <w:tc>
          <w:tcPr>
            <w:tcW w:type="dxa" w:w="42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int_sync_runs, int_external_links</w:t>
            </w:r>
          </w:p>
        </w:tc>
      </w:tr>
    </w:tbl>
    <w:p>
      <w:pPr>
        <w:pStyle w:val="BodyTight"/>
      </w:pPr>
      <w:r>
        <w:rPr>
          <w:b/>
        </w:rPr>
        <w:t xml:space="preserve">Regola obbligatoria. </w:t>
      </w:r>
      <w:r>
        <w:t>Regola obbligatoria. Non creare tabelle ibride che mescolano configurazione, operatività e storico nello stesso oggetto salvo motivazione approvata dal responsabile DB.</w:t>
      </w:r>
    </w:p>
    <w:p>
      <w:pPr>
        <w:pStyle w:val="SectionTitle"/>
        <w:keepNext w:val="1"/>
      </w:pPr>
      <w:r>
        <w:t>2. Regole di naming di tabelle e campi</w:t>
      </w:r>
    </w:p>
    <w:p>
      <w:pPr>
        <w:pStyle w:val="BodyTight"/>
      </w:pPr>
      <w:r>
        <w:rPr>
          <w:b/>
        </w:rPr>
        <w:t xml:space="preserve">Scelta di base. </w:t>
      </w:r>
      <w:r>
        <w:t>La convenzione proposta usa inglese tecnico, snake_case, nomi leggibili e stabili. L’obiettivo è la riconoscibilità sistematica: leggendo un nome tabella o una foreign key si deve capire subito natura, appartenenza e livello dell’oggetto.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Lingua — </w:t>
      </w:r>
      <w:r>
        <w:t>inglese tecnico per nomi di tabelle, campi, vincoli e indici.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Formato — </w:t>
      </w:r>
      <w:r>
        <w:t>solo snake_case; nessun CamelCase, nessun prefisso ambiguo, nessuna abbreviazione non documentata.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Tabelle principali — </w:t>
      </w:r>
      <w:r>
        <w:t>sostantivo plurale chiaro: production_orders, external_phases, quality_events.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Tabelle secondarie — </w:t>
      </w:r>
      <w:r>
        <w:t>nome derivato dal singolare logico dell’oggetto principale + suffisso descrittivo: production_order_lines, production_order_events, production_order_attachments.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Campi FK — </w:t>
      </w:r>
      <w:r>
        <w:t>sempre &lt;oggetto_singolare&gt;_id. Esempi: production_order_id, tenant_id, created_by_user_id.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Campi codice business — </w:t>
      </w:r>
      <w:r>
        <w:t>sempre &lt;ambito&gt;_code o semplicemente code se è il codice principale dell’oggetto.</w:t>
      </w:r>
    </w:p>
    <w:p>
      <w:pPr>
        <w:pStyle w:val="SubsectionTitle"/>
        <w:keepNext w:val="1"/>
      </w:pPr>
      <w:r>
        <w:t>2.1 Pattern di naming obbligatori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268"/>
        <w:gridCol w:w="3515"/>
        <w:gridCol w:w="3628"/>
      </w:tblGrid>
      <w:tr>
        <w:trPr>
          <w:tblHeader w:val="true"/>
        </w:trPr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ight"/>
            </w:pPr>
            <w:r>
              <w:rPr>
                <w:b/>
                <w:color w:val="22427C"/>
              </w:rPr>
              <w:t>Caso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ight"/>
            </w:pPr>
            <w:r>
              <w:rPr>
                <w:b/>
                <w:color w:val="22427C"/>
              </w:rPr>
              <w:t>Pattern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ight"/>
            </w:pPr>
            <w:r>
              <w:rPr>
                <w:b/>
                <w:color w:val="22427C"/>
              </w:rPr>
              <w:t>Esempio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Tabella principale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Righe / figli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&lt;object_singular&gt;_lines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production_order_lines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Fasi / step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&lt;object_singular&gt;_phases / _steps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routing_version_steps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Eventi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&lt;object_singular&gt;_events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production_order_events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Storico stati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&lt;object_singular&gt;_status_history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production_order_status_history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Versioni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&lt;object_singular&gt;_versions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bom_template_versions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Allegati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&lt;object_singular&gt;_attachments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quality_event_attachments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Note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&lt;object_singular&gt;_notes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production_order_notes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Relazioni pure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&lt;left&gt;_&lt;right&gt;_links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production_model_routing_links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Assegnazioni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&lt;object&gt;_assignments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tenant_user_role_assignments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Look-up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ref_&lt;topic_plural&gt;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ref_units_of_measure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Config tenant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cfg_&lt;topic_plural&gt;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cfg_tenant_settings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Tecniche / sistema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sys_&lt;topic_plural&gt;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sys_job_locks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Integrazione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int_&lt;topic_plural&gt;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int_sync_runs</w:t>
            </w:r>
          </w:p>
        </w:tc>
      </w:tr>
      <w:t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Audit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audit_&lt;topic_plural&gt;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audit_entries</w:t>
            </w:r>
          </w:p>
        </w:tc>
      </w:tr>
    </w:tbl>
    <w:p>
      <w:pPr>
        <w:pStyle w:val="SubsectionTitle"/>
        <w:keepNext w:val="1"/>
      </w:pPr>
      <w:r>
        <w:t>2.2 Regole specifiche per i campi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Primary key — </w:t>
      </w:r>
      <w:r>
        <w:t>sempre id.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Tenant scope — </w:t>
      </w:r>
      <w:r>
        <w:t>tenant_id su tutte le entità tenant-scoped.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Stato — </w:t>
      </w:r>
      <w:r>
        <w:t>status per lo stato principale; evitare duplicazione con is_active salvo reale necessità di doppio concetto.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Date di business — </w:t>
      </w:r>
      <w:r>
        <w:t>nominare per significato: planned_start_at, completed_at, due_date, valid_from, valid_to.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Quantità / valori — </w:t>
      </w:r>
      <w:r>
        <w:t>nomi autoesplicativi con unità implicita nel contesto: planned_qty, completed_qty, scrap_qty, estimated_cost_amount.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Snapshot denormalizzati — </w:t>
      </w:r>
      <w:r>
        <w:t>quando servono copie storiche di testo/codice usare suffissi _snapshot, _code_snapshot, _name_snapshot.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Booleani — </w:t>
      </w:r>
      <w:r>
        <w:t>prefisso is_, has_, can_, requires_. Esempi: is_default, has_quality_check, can_override_lot.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Enum applicativi — </w:t>
      </w:r>
      <w:r>
        <w:t>se non si usa lookup esterno, campo con suffisso _type o _mode: issue_type, calculation_mode, source_type.</w:t>
      </w:r>
    </w:p>
    <w:p>
      <w:pPr>
        <w:pStyle w:val="BodyTight"/>
      </w:pPr>
      <w:r>
        <w:rPr>
          <w:b/>
        </w:rPr>
        <w:t xml:space="preserve">Divieti. </w:t>
      </w:r>
      <w:r>
        <w:t>Divieti. Vietati nomi generici come data1, flag2, notevarie, field_x, tmp_table, new_table, misc o simili. Vietate abbreviazioni opache se non presenti nel glossario tecnico del progetto.</w:t>
      </w:r>
    </w:p>
    <w:p>
      <w:pPr>
        <w:pStyle w:val="SectionTitle"/>
        <w:keepNext w:val="1"/>
      </w:pPr>
      <w:r>
        <w:t>3. Chiavi e identificativi</w:t>
      </w:r>
    </w:p>
    <w:p>
      <w:pPr>
        <w:pStyle w:val="BodyTight"/>
      </w:pPr>
      <w:r>
        <w:rPr>
          <w:b/>
        </w:rPr>
        <w:t xml:space="preserve">Scelta standard. </w:t>
      </w:r>
      <w:r>
        <w:t>Per un SaaS multi-tenant con possibili integrazioni esterne, la chiave primaria tecnica standard deve essere UUID. Il codice business resta separato, leggibile e governabile per singolo dominio.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Primary key tecnica — </w:t>
      </w:r>
      <w:r>
        <w:t>UUID come id su tutte le nuove tabelle di dominio e configurazione.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Formato consigliato — </w:t>
      </w:r>
      <w:r>
        <w:t>UUID v7 o equivalente time-ordered se supportato dalla piattaforma; in alternativa UUID v4. Obiettivo: unicità globale e inserimenti meno frammentati rispetto a UUID casuali puri.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Chiave business — </w:t>
      </w:r>
      <w:r>
        <w:t>campo separato: code oppure numero/serie specifica. Non usare il codice business come PK.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External keys — </w:t>
      </w:r>
      <w:r>
        <w:t>per codici/ID ERP usare campi dedicati come external_id, external_code, source_system_code o mapping in tabella di integrazione.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Unique key — </w:t>
      </w:r>
      <w:r>
        <w:t>definire univocità di business dove serve, quasi sempre scoping per tenant e stato/validità se rilevante.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Composite key — </w:t>
      </w:r>
      <w:r>
        <w:t>evitarla come PK principale. Ammessa come unique constraint o in bridge table altamente tecniche.</w:t>
      </w:r>
    </w:p>
    <w:p>
      <w:pPr>
        <w:pStyle w:val="SubsectionTitle"/>
        <w:keepNext w:val="1"/>
      </w:pPr>
      <w:r>
        <w:t>3.1 Regole pratiche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PK — </w:t>
      </w:r>
      <w:r>
        <w:t>sempre id.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FK — </w:t>
      </w:r>
      <w:r>
        <w:t>sempre campo singolo con suffisso _id e tipo coerente alla PK referenziata.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UK tipica tenant-scoped — </w:t>
      </w:r>
      <w:r>
        <w:t>uq_&lt;table&gt;__tenant_id_code per codice univoco interno al tenant.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Codice business mutabile — </w:t>
      </w:r>
      <w:r>
        <w:t>non deve essere referenziato come chiave esterna. Le FK puntano sempre alla chiave tecnica id.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ID esterni multipli — </w:t>
      </w:r>
      <w:r>
        <w:t>se un oggetto può avere più sistemi esterni, usare int_external_links o tabella equivalente e non aggiungere colonne sparse per ogni ERP.</w:t>
      </w:r>
    </w:p>
    <w:p>
      <w:pPr>
        <w:pStyle w:val="SectionTitle"/>
        <w:keepNext w:val="1"/>
      </w:pPr>
      <w:r>
        <w:t>4. Campi standard comuni</w:t>
      </w:r>
    </w:p>
    <w:p>
      <w:pPr>
        <w:pStyle w:val="BodyTight"/>
      </w:pPr>
      <w:r>
        <w:rPr>
          <w:b/>
        </w:rPr>
        <w:t xml:space="preserve">Principio. </w:t>
      </w:r>
      <w:r>
        <w:t>Non tutte le tabelle devono avere tutti i campi standard, ma ogni famiglia deve partire da un set predefinito e motivare eventuali eccezioni.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381"/>
        <w:gridCol w:w="1757"/>
        <w:gridCol w:w="3742"/>
        <w:gridCol w:w="1757"/>
      </w:tblGrid>
      <w:tr>
        <w:trPr>
          <w:tblHeader w:val="true"/>
        </w:trPr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Campo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Obbligo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Uso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Note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Sempre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PK tecnica UUID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Mai riusare altri campi come PK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tenant_id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Quasi sempre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Scope tenant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Assente solo su globali/super-admin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code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Quando utile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Codice business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Univocità per tenant o famiglia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status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Quando utile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Stato lifecycle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Valori documentati per dominio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created_at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Sempre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Timestamp creazione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UTC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updated_at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Sempre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Timestamp ultima modifica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UTC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created_by_user_id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Raccomandato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Utente creatore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Null solo processi tecnici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updated_by_user_id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Raccomandato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Utente ultima modifica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Null solo processi tecnici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deleted_at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Se soft delete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Cancellazione logica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Usare insieme a deleted_by_user_id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deleted_by_user_id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Se soft delete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Autore cancellazione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Non serve su hard delete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version_no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Su versionati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Numero versione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Parte della semantica di business</w:t>
            </w:r>
          </w:p>
        </w:tc>
      </w:tr>
      <w:tr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row_version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Raccomandato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Concorrenza ottimistica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Intero o token tecnico</w:t>
            </w:r>
          </w:p>
        </w:tc>
      </w:tr>
    </w:tbl>
    <w:p>
      <w:pPr>
        <w:pStyle w:val="SubsectionTitle"/>
        <w:keepNext w:val="1"/>
      </w:pPr>
      <w:r>
        <w:t>4.1 Convenzioni aggiuntive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Timestamp — </w:t>
      </w:r>
      <w:r>
        <w:t>tutti i campi *_at in UTC.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Date pure — </w:t>
      </w:r>
      <w:r>
        <w:t>usare *_date solo se non serve componente oraria.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Utenti tecnici — </w:t>
      </w:r>
      <w:r>
        <w:t>per processi non umani si può valorizzare un utente tecnico o lasciare null secondo regola applicativa condivisa.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Concorrenza — </w:t>
      </w:r>
      <w:r>
        <w:t>suggerito row_version su tabelle operative e configurazioni sensibili.</w:t>
      </w:r>
    </w:p>
    <w:p>
      <w:pPr>
        <w:pStyle w:val="SectionTitle"/>
        <w:keepNext w:val="1"/>
      </w:pPr>
      <w:r>
        <w:t>5. Relazioni, integrità, vincoli e indici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Uno-a-molti — </w:t>
      </w:r>
      <w:r>
        <w:t>la tabella figlia contiene la FK verso il padre con naming &lt;padre_singolare&gt;_id.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Molti-a-molti — </w:t>
      </w:r>
      <w:r>
        <w:t>preferire una tabella ponte esplicita; se contiene attributi propri, trattarla come entità a tutti gli effetti.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Lookup — </w:t>
      </w:r>
      <w:r>
        <w:t>per liste stabili e condivise usare ref_&lt;topic&gt;; per scelte tenant-specifiche usare tabella cfg_ o master tenant-scoped.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Relazioni con oggetti tecnici — </w:t>
      </w:r>
      <w:r>
        <w:t>tenere separati gli oggetti di dominio da code, log job, tentativi di sync e mapping esterni.</w:t>
      </w:r>
    </w:p>
    <w:p>
      <w:pPr>
        <w:pStyle w:val="SubsectionTitle"/>
        <w:keepNext w:val="1"/>
      </w:pPr>
      <w:r>
        <w:t>5.1 Naming vincoli e indici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Primary key — </w:t>
      </w:r>
      <w:r>
        <w:t>pk_&lt;table&gt;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Foreign key — </w:t>
      </w:r>
      <w:r>
        <w:t>fk_&lt;table&gt;__&lt;column&gt;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Unique — </w:t>
      </w:r>
      <w:r>
        <w:t>uq_&lt;table&gt;__&lt;column_list&gt;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Check — </w:t>
      </w:r>
      <w:r>
        <w:t>ck_&lt;table&gt;__&lt;rule_name&gt;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Index — </w:t>
      </w:r>
      <w:r>
        <w:t>ix_&lt;table&gt;__&lt;column_list&gt;</w:t>
      </w:r>
    </w:p>
    <w:p>
      <w:pPr>
        <w:pStyle w:val="BodyTight"/>
      </w:pPr>
      <w:r>
        <w:rPr>
          <w:b/>
        </w:rPr>
        <w:t xml:space="preserve">Esempi. </w:t>
      </w:r>
      <w:r>
        <w:t>Esempi: pk_production_orders; fk_production_order_lines__production_order_id; uq_products__tenant_id_code; ix_production_orders__tenant_id_status_due_date.</w:t>
      </w:r>
    </w:p>
    <w:p>
      <w:pPr>
        <w:pStyle w:val="SubsectionTitle"/>
        <w:keepNext w:val="1"/>
      </w:pPr>
      <w:r>
        <w:t>5.2 Regole on delete / on update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ON UPDATE — </w:t>
      </w:r>
      <w:r>
        <w:t>di norma RESTRICT/NO ACTION. Le PK non devono cambiare.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ON DELETE RESTRICT — </w:t>
      </w:r>
      <w:r>
        <w:t>default per riferimenti a master, template, documenti e oggetti con valore storico.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ON DELETE CASCADE — </w:t>
      </w:r>
      <w:r>
        <w:t>ammesso solo per figli posseduti in modo esclusivo e senza valore autonomo, per esempio righe tecniche, link puri, dettagli non auditati.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ON DELETE SET NULL — </w:t>
      </w:r>
      <w:r>
        <w:t>ammesso su relazioni opzionali o storico dove l’oggetto collegato può non esistere più senza compromettere la leggibilità del record.</w:t>
      </w:r>
    </w:p>
    <w:p>
      <w:pPr>
        <w:pStyle w:val="SectionTitle"/>
        <w:keepNext w:val="1"/>
      </w:pPr>
      <w:r>
        <w:t>6. Versioning, storico e audit</w:t>
      </w:r>
    </w:p>
    <w:p>
      <w:pPr>
        <w:pStyle w:val="BodyTight"/>
      </w:pPr>
      <w:r>
        <w:rPr>
          <w:b/>
        </w:rPr>
        <w:t xml:space="preserve">Regola generale. </w:t>
      </w:r>
      <w:r>
        <w:t>Gli oggetti strutturali del prodotto richiedono versioning reale. In particolare DIBA, distinte ciclo, modelli produttivi, template etichette e configurazioni critiche non devono essere gestiti con update distruttivo se la modifica altera il significato della struttura.</w:t>
      </w:r>
    </w:p>
    <w:p>
      <w:pPr>
        <w:pStyle w:val="SubsectionTitle"/>
        <w:keepNext w:val="1"/>
      </w:pPr>
      <w:r>
        <w:t>6.1 Quando creare una nuova versione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Nuova versione obbligatoria — </w:t>
      </w:r>
      <w:r>
        <w:t>quando cambia struttura, logica di consumo, sequenza fasi, regole di calcolo, validità funzionale o contenuto usato come riferimento storico.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Update diretto ammesso — </w:t>
      </w:r>
      <w:r>
        <w:t>solo per correzioni non strutturali: refuso descrittivo, metadata non sostanziali, note, flag non storicizzati.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Versione e stato — </w:t>
      </w:r>
      <w:r>
        <w:t>ogni oggetto versionato deve distinguere almeno famiglia logica, numero versione, stato, validità temporale e flag di versione corrente se utile.</w:t>
      </w:r>
    </w:p>
    <w:p>
      <w:pPr>
        <w:pStyle w:val="SubsectionTitle"/>
        <w:keepNext w:val="1"/>
      </w:pPr>
      <w:r>
        <w:t>6.2 Pattern consigliato per versionati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Famiglia logica — </w:t>
      </w:r>
      <w:r>
        <w:t>tabella base stabile: bom_templates, routing_templates, production_models.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Versioni — </w:t>
      </w:r>
      <w:r>
        <w:t>tabella versioni separata: bom_template_versions, routing_template_versions, production_model_versions.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Figli di versione — </w:t>
      </w:r>
      <w:r>
        <w:t>sempre dipendenti dalla versione, non dalla famiglia: bom_template_version_lines, routing_template_version_steps.</w:t>
      </w:r>
    </w:p>
    <w:p>
      <w:pPr>
        <w:pStyle w:val="SubsectionTitle"/>
        <w:keepNext w:val="1"/>
      </w:pPr>
      <w:r>
        <w:t>6.3 Storico e audit minimi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Status history — </w:t>
      </w:r>
      <w:r>
        <w:t>usare &lt;object&gt;_status_history per tracciare passaggi di stato con timestamp, utente, motivazione e contesto.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Business events — </w:t>
      </w:r>
      <w:r>
        <w:t>usare &lt;object&gt;_events per eventi operativi significativi non riducibili a cambio stato.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Audit DB minimo — </w:t>
      </w:r>
      <w:r>
        <w:t>configurazioni tenant, permessi, versioni di libreria, stati ODP/fasi, missioni materiale, rientri da terzista, qualità/NC, template etichette.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Audit applicativo sufficiente — </w:t>
      </w:r>
      <w:r>
        <w:t>telemetria UI, eventi di usabilità, navigazione, refresh o dettagli non necessari a ricostruzione dati.</w:t>
      </w:r>
    </w:p>
    <w:p>
      <w:pPr>
        <w:pStyle w:val="SectionTitle"/>
        <w:keepNext w:val="1"/>
      </w:pPr>
      <w:r>
        <w:t>7. Linee guida per performance e queryabilità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Indicizzazione minima — </w:t>
      </w:r>
      <w:r>
        <w:t>indicizzare quasi sempre tenant_id, status, created_at, updated_at e le FK usate in join frequenti.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Liste operative grandi — </w:t>
      </w:r>
      <w:r>
        <w:t>su tabelle come production_orders, production_order_phases, quality_events, subcontract_returns prevedere indici composti coerenti con i filtri primari.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Soft delete — </w:t>
      </w:r>
      <w:r>
        <w:t>se usato in tabelle grandi, considerare indice che includa deleted_at o strategia per escludere i record cancellati dalle query standard.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Versionati — </w:t>
      </w:r>
      <w:r>
        <w:t>indicizzare family/root id + version_no e, se serve, valid_from / valid_to / is_current.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No ottimizzazione prematura — </w:t>
      </w:r>
      <w:r>
        <w:t>non introdurre partizionamenti o denormalizzazioni speculative senza caso d’uso misurabile, ma mantenere naming e chiavi pronti a supportarli.</w:t>
      </w:r>
    </w:p>
    <w:p>
      <w:pPr>
        <w:pStyle w:val="SubsectionTitle"/>
        <w:keepNext w:val="1"/>
      </w:pPr>
      <w:r>
        <w:t>7.1 Campi da indicizzare quasi sempre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t>tenant_id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t>FK principali verso padre o oggetti di filtro frequente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t>status su tabelle operative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t>due_date / planned_start_at / completed_at quando la pagina filtra per calendario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t>code su anagrafiche e documenti con ricerca diretta</w:t>
      </w:r>
    </w:p>
    <w:p>
      <w:pPr>
        <w:pStyle w:val="SectionTitle"/>
        <w:keepNext w:val="1"/>
      </w:pPr>
      <w:r>
        <w:t>8. Governance operativa durante lo sviluppo</w:t>
      </w:r>
    </w:p>
    <w:p>
      <w:pPr>
        <w:pStyle w:val="BodyTight"/>
      </w:pPr>
      <w:r>
        <w:rPr>
          <w:b/>
        </w:rPr>
        <w:t xml:space="preserve">Obiettivo. </w:t>
      </w:r>
      <w:r>
        <w:t>Questa sezione definisce il perimetro di autonomia di Isabell e il flusso di approvazione per evitare deriva del modello dati.</w:t>
      </w:r>
    </w:p>
    <w:p>
      <w:pPr>
        <w:pStyle w:val="SubsectionTitle"/>
        <w:keepNext w:val="1"/>
      </w:pPr>
      <w:r>
        <w:t>8.1 Cosa Isabell può creare in autonomia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Può creare — </w:t>
      </w:r>
      <w:r>
        <w:t>nuove tabelle figlie prevedibili di un oggetto già approvato, se rispettano naming, chiavi, campi standard e relazione già coerente con il dominio.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Può aggiungere — </w:t>
      </w:r>
      <w:r>
        <w:t>campi tecnici strettamente implementativi e non funzionali (es. row_version, external_checksum, sort_order) se non alterano il modello concettuale.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Può proporre — </w:t>
      </w:r>
      <w:r>
        <w:t>nuovi indici o unique constraint giustificati da query reali o regole di business già approvate.</w:t>
      </w:r>
    </w:p>
    <w:p>
      <w:pPr>
        <w:pStyle w:val="SubsectionTitle"/>
        <w:keepNext w:val="1"/>
      </w:pPr>
      <w:r>
        <w:t>8.2 Cosa deve essere validato dal responsabile DB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Sempre da validare — </w:t>
      </w:r>
      <w:r>
        <w:t>nuova entità principale, nuova famiglia versionata, nuova relazione molti-a-molti, cambio di PK/FK, modifica a strategia soft delete/versioning, eccezioni al naming standard.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Sempre da validare — </w:t>
      </w:r>
      <w:r>
        <w:t>campi che duplicano concetti esistenti, campi polisemici, enum non documentati, campi ERP-specifici in tabelle core di dominio.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Sempre da validare — </w:t>
      </w:r>
      <w:r>
        <w:t>introduzione di colonne JSON per dati che sembrano invece strutturali e relazionali.</w:t>
      </w:r>
    </w:p>
    <w:p>
      <w:pPr>
        <w:pStyle w:val="SubsectionTitle"/>
        <w:keepNext w:val="1"/>
      </w:pPr>
      <w:r>
        <w:t>8.3 Flusso richieste nuove tabelle/campi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Passo 1 — </w:t>
      </w:r>
      <w:r>
        <w:t>descrivere il bisogno funzionale e l’oggetto impattato.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Passo 2 — </w:t>
      </w:r>
      <w:r>
        <w:t>verificare se il requisito ricade in tabella esistente o richiede nuova entità.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Passo 3 — </w:t>
      </w:r>
      <w:r>
        <w:t>proporre naming, chiavi, relazione, campi standard e motivo di eventuali eccezioni.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Passo 4 — </w:t>
      </w:r>
      <w:r>
        <w:t>validazione DB prima di considerare stabile la struttura.</w:t>
      </w:r>
    </w:p>
    <w:p>
      <w:pPr>
        <w:pStyle w:val="BodyTight"/>
      </w:pPr>
      <w:r>
        <w:rPr>
          <w:b/>
        </w:rPr>
        <w:t xml:space="preserve">Eccezioni. </w:t>
      </w:r>
      <w:r>
        <w:t>Eccezioni. Ogni deroga allo standard deve essere documentata con motivazione, impatto, alternativa scartata e approvazione esplicita. Le deroghe non fanno precedente automatico.</w:t>
      </w:r>
    </w:p>
    <w:p>
      <w:pPr>
        <w:pStyle w:val="SectionTitle"/>
        <w:keepNext w:val="1"/>
      </w:pPr>
      <w:r>
        <w:t>9. Esempi modello</w:t>
      </w:r>
    </w:p>
    <w:p>
      <w:pPr>
        <w:pStyle w:val="BodyTight"/>
      </w:pPr>
      <w:r>
        <w:rPr>
          <w:b/>
        </w:rPr>
        <w:t xml:space="preserve">Nota. </w:t>
      </w:r>
      <w:r>
        <w:t>Gli esempi seguenti non sono il modello finale completo, ma mostrano il livello di concretezza atteso per la modellazione.</w:t>
      </w:r>
    </w:p>
    <w:p>
      <w:pPr>
        <w:pStyle w:val="SubsectionTitle"/>
        <w:keepNext w:val="1"/>
      </w:pPr>
      <w:r>
        <w:t>9.1 Esempio A — tabella anagrafica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438"/>
        <w:gridCol w:w="1701"/>
        <w:gridCol w:w="3855"/>
        <w:gridCol w:w="1644"/>
      </w:tblGrid>
      <w:tr>
        <w:trPr>
          <w:tblHeader w:val="true"/>
        </w:trPr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Tabella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Campo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Tipo logico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Note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id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UUID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PK tecnica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tenant_id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UUID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scope tenant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code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text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codice prodotto univoco per tenant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name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text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descrizione breve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status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text/enum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draft, active, obsolete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products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created_at / updated_at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timestamp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audit base</w:t>
            </w:r>
          </w:p>
        </w:tc>
      </w:tr>
    </w:tbl>
    <w:p>
      <w:pPr>
        <w:pStyle w:val="SubsectionTitle"/>
        <w:keepNext w:val="1"/>
      </w:pPr>
      <w:r>
        <w:t>9.2 Esempio B — tabella operativa con righe figlie</w:t>
      </w:r>
    </w:p>
    <w:p>
      <w:pPr>
        <w:pStyle w:val="BodyTight"/>
      </w:pPr>
      <w:r>
        <w:rPr>
          <w:b/>
        </w:rPr>
        <w:t xml:space="preserve">Naming atteso. </w:t>
      </w:r>
      <w:r>
        <w:t>Testata: production_orders • Figli: production_order_lines, production_order_events, production_order_status_history.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2891"/>
        <w:gridCol w:w="3572"/>
        <w:gridCol w:w="3402"/>
      </w:tblGrid>
      <w:tr>
        <w:trPr>
          <w:tblHeader w:val="true"/>
        </w:trPr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Tabella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Ruolo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Chiave di collegamento</w:t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production_orders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testata ODP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pk: id</w:t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production_order_lines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righe materiali/documentali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fk: production_order_id</w:t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production_order_events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eventi operativi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fk: production_order_id</w:t>
            </w:r>
          </w:p>
        </w:tc>
      </w:tr>
      <w:tr>
        <w:tc>
          <w:tcPr>
            <w:tcW w:type="dxa" w:w="28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production_order_status_history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storico stati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fk: production_order_id</w:t>
            </w:r>
          </w:p>
        </w:tc>
      </w:tr>
    </w:tbl>
    <w:p>
      <w:pPr>
        <w:pStyle w:val="SubsectionTitle"/>
        <w:keepNext w:val="1"/>
      </w:pPr>
      <w:r>
        <w:t>9.3 Esempio C — oggetto versionato</w:t>
      </w:r>
    </w:p>
    <w:p>
      <w:pPr>
        <w:pStyle w:val="BodyTight"/>
      </w:pPr>
      <w:r>
        <w:rPr>
          <w:b/>
        </w:rPr>
        <w:t xml:space="preserve">Pattern. </w:t>
      </w:r>
      <w:r>
        <w:t>Famiglia logica separata dalla versione per preservare storico e riferimenti operativi.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3061"/>
        <w:gridCol w:w="2948"/>
        <w:gridCol w:w="3855"/>
      </w:tblGrid>
      <w:tr>
        <w:trPr>
          <w:tblHeader w:val="true"/>
        </w:trPr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Tabella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Funzione</w:t>
            </w:r>
          </w:p>
        </w:tc>
        <w:tc>
          <w:tcPr>
            <w:tcW w:type="dxa" w:w="3289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Note</w:t>
            </w:r>
          </w:p>
        </w:tc>
      </w:tr>
      <w:tr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bom_templates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identità stabile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tenant_id, code, status</w:t>
            </w:r>
          </w:p>
        </w:tc>
      </w:tr>
      <w:tr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bom_template_versions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versione contenuto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bom_template_id, version_no, valid_from, valid_to</w:t>
            </w:r>
          </w:p>
        </w:tc>
      </w:tr>
      <w:tr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bom_template_version_lines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componenti della versione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bom_template_version_id</w:t>
            </w:r>
          </w:p>
        </w:tc>
      </w:tr>
    </w:tbl>
    <w:p>
      <w:pPr>
        <w:pStyle w:val="SubsectionTitle"/>
        <w:keepNext w:val="1"/>
      </w:pPr>
      <w:r>
        <w:t>9.4 Esempio D — relazione many-to-many / assegnazione</w:t>
      </w:r>
    </w:p>
    <w:p>
      <w:pPr>
        <w:pStyle w:val="BodyTight"/>
      </w:pPr>
      <w:r>
        <w:rPr>
          <w:b/>
        </w:rPr>
        <w:t xml:space="preserve">Principio. </w:t>
      </w:r>
      <w:r>
        <w:t>Quando la relazione porta attributi propri, trattarla come entità. Esempio: assegnazione ruoli utente nel tenant.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EA"/>
          <w:left w:val="single" w:sz="6" w:space="0" w:color="C8D4EA"/>
          <w:bottom w:val="single" w:sz="6" w:space="0" w:color="C8D4EA"/>
          <w:right w:val="single" w:sz="6" w:space="0" w:color="C8D4EA"/>
          <w:insideH w:val="single" w:sz="6" w:space="0" w:color="C8D4EA"/>
          <w:insideV w:val="single" w:sz="6" w:space="0" w:color="C8D4EA"/>
        </w:tblBorders>
      </w:tblPr>
      <w:tblGrid>
        <w:gridCol w:w="3231"/>
        <w:gridCol w:w="2211"/>
        <w:gridCol w:w="2324"/>
        <w:gridCol w:w="2098"/>
      </w:tblGrid>
      <w:tr>
        <w:trPr>
          <w:tblHeader w:val="true"/>
        </w:trPr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Tabella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FK principali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Attributi propri</w:t>
            </w:r>
          </w:p>
        </w:tc>
        <w:tc>
          <w:tcPr>
            <w:tcW w:type="dxa" w:w="2466"/>
            <w:shd w:fill="D9E5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ight"/>
            </w:pPr>
            <w:r>
              <w:rPr>
                <w:b/>
                <w:color w:val="22427C"/>
              </w:rPr>
              <w:t>Note</w:t>
            </w:r>
          </w:p>
        </w:tc>
      </w:tr>
      <w:tr>
        <w:tc>
          <w:tcPr>
            <w:tcW w:type="dxa" w:w="32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5F8FD"/>
          </w:tcPr>
          <w:p>
            <w:pPr>
              <w:pStyle w:val="BodyTight"/>
            </w:pPr>
            <w:r>
              <w:t>tenant_user_role_assignments</w:t>
            </w:r>
          </w:p>
        </w:tc>
        <w:tc>
          <w:tcPr>
            <w:tcW w:type="dxa" w:w="221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tenant_id, user_id, role_id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assigned_at, assigned_by_user_id, valid_to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BodyTight"/>
            </w:pPr>
            <w:r>
              <w:t>unique per combinazione attiva</w:t>
            </w:r>
          </w:p>
        </w:tc>
      </w:tr>
    </w:tbl>
    <w:p>
      <w:pPr>
        <w:pStyle w:val="SectionTitle"/>
        <w:keepNext w:val="1"/>
      </w:pPr>
      <w:r>
        <w:t>10. Glossario minimo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Template — </w:t>
      </w:r>
      <w:r>
        <w:t>oggetto di libreria riusabile, non coincidente con l’istanza operativa.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Istanza operativa — </w:t>
      </w:r>
      <w:r>
        <w:t>oggetto reale eseguito o movimentato, derivato da un template ma potenzialmente divergente.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Famiglia logica — </w:t>
      </w:r>
      <w:r>
        <w:t>identità stabile di un oggetto versionato, indipendente dalle singole versioni.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Versione — </w:t>
      </w:r>
      <w:r>
        <w:t>snapshot controllato di una famiglia logica in un preciso stato/tempo.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Chiave tecnica — </w:t>
      </w:r>
      <w:r>
        <w:t>identificativo interno stabile, usato da PK/FK.</w:t>
      </w:r>
    </w:p>
    <w:p>
      <w:pPr>
        <w:pStyle w:val="BodyTight"/>
        <w:spacing w:before="0" w:after="40" w:line="276" w:lineRule="auto"/>
        <w:ind w:left="283" w:hanging="113"/>
      </w:pPr>
      <w:r>
        <w:rPr>
          <w:b/>
        </w:rPr>
        <w:t xml:space="preserve">• </w:t>
      </w:r>
      <w:r>
        <w:rPr>
          <w:b/>
        </w:rPr>
        <w:t xml:space="preserve">Chiave business — </w:t>
      </w:r>
      <w:r>
        <w:t>codice leggibile dall’utente o dall’ERP, non usato come PK.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8C48C"/>
          <w:left w:val="single" w:sz="6" w:space="0" w:color="A8C48C"/>
          <w:bottom w:val="single" w:sz="6" w:space="0" w:color="A8C48C"/>
          <w:right w:val="single" w:sz="6" w:space="0" w:color="A8C48C"/>
          <w:insideH w:val="single" w:sz="6" w:space="0" w:color="A8C48C"/>
          <w:insideV w:val="single" w:sz="6" w:space="0" w:color="A8C48C"/>
        </w:tblBorders>
      </w:tblPr>
      <w:tblGrid>
        <w:gridCol w:w="9638"/>
      </w:tblGrid>
      <w:tr>
        <w:tc>
          <w:tcPr>
            <w:tcW w:type="dxa" w:w="9866"/>
            <w:shd w:fill="EFF5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BodyTight"/>
            </w:pPr>
            <w:r/>
            <w:r>
              <w:rPr>
                <w:b/>
              </w:rPr>
              <w:t xml:space="preserve">Esito atteso della validazione DB-00. </w:t>
            </w:r>
            <w:r>
              <w:t>Dopo approvazione, questo documento diventa riferimento vincolante: Isabell potrà modellare nel perimetro consentito senza reinventare naming, chiavi o strutture base; le eccezioni passeranno invece da validazione DB preventiva.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7"/>
      </w:rPr>
      <w:t xml:space="preserve">Versione bozza 0.1 •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5F5F"/>
        <w:sz w:val="17"/>
      </w:rPr>
      <w:t>Esyy Flow • DB-00 • Standard e regole base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200" w:line="276" w:lineRule="auto"/>
    </w:pPr>
    <w:rPr>
      <w:rFonts w:ascii="Aptos" w:hAnsi="Aptos"/>
      <w:b/>
      <w:color w:val="22427C"/>
      <w:sz w:val="48"/>
    </w:rPr>
  </w:style>
  <w:style w:type="paragraph" w:customStyle="1" w:styleId="SubtitleCustom">
    <w:name w:val="SubtitleCustom"/>
    <w:basedOn w:val="Normal"/>
    <w:pPr>
      <w:spacing w:before="0" w:after="240" w:line="276" w:lineRule="auto"/>
    </w:pPr>
    <w:rPr>
      <w:rFonts w:ascii="Aptos" w:hAnsi="Aptos"/>
      <w:b w:val="0"/>
      <w:color w:val="5F5F5F"/>
      <w:sz w:val="22"/>
    </w:rPr>
  </w:style>
  <w:style w:type="paragraph" w:customStyle="1" w:styleId="SectionTitle">
    <w:name w:val="SectionTitle"/>
    <w:basedOn w:val="Normal"/>
    <w:pPr>
      <w:spacing w:before="240" w:after="120" w:line="276" w:lineRule="auto"/>
    </w:pPr>
    <w:rPr>
      <w:rFonts w:ascii="Aptos" w:hAnsi="Aptos"/>
      <w:b/>
      <w:color w:val="22427C"/>
      <w:sz w:val="30"/>
    </w:rPr>
  </w:style>
  <w:style w:type="paragraph" w:customStyle="1" w:styleId="SubsectionTitle">
    <w:name w:val="SubsectionTitle"/>
    <w:basedOn w:val="Normal"/>
    <w:pPr>
      <w:spacing w:before="200" w:after="80" w:line="276" w:lineRule="auto"/>
    </w:pPr>
    <w:rPr>
      <w:rFonts w:ascii="Aptos" w:hAnsi="Aptos"/>
      <w:b/>
      <w:color w:val="5A719C"/>
      <w:sz w:val="23"/>
    </w:rPr>
  </w:style>
  <w:style w:type="paragraph" w:customStyle="1" w:styleId="BodyTight">
    <w:name w:val="BodyTight"/>
    <w:basedOn w:val="Normal"/>
    <w:pPr>
      <w:spacing w:before="0" w:after="80" w:line="276" w:lineRule="auto"/>
    </w:pPr>
    <w:rPr>
      <w:rFonts w:ascii="Aptos" w:hAnsi="Aptos"/>
      <w:b w:val="0"/>
      <w:color w:val="242424"/>
      <w:sz w:val="21"/>
    </w:rPr>
  </w:style>
  <w:style w:type="paragraph" w:customStyle="1" w:styleId="SmallMuted">
    <w:name w:val="SmallMuted"/>
    <w:basedOn w:val="Normal"/>
    <w:pPr>
      <w:spacing w:before="0" w:after="60" w:line="276" w:lineRule="auto"/>
    </w:pPr>
    <w:rPr>
      <w:rFonts w:ascii="Aptos" w:hAnsi="Aptos"/>
      <w:b w:val="0"/>
      <w:color w:val="5F5F5F"/>
      <w:sz w:val="18"/>
    </w:rPr>
  </w:style>
  <w:style w:type="character" w:customStyle="1" w:styleId="CodeChar">
    <w:name w:val="CodeChar"/>
    <w:rPr>
      <w:rFonts w:ascii="Consolas" w:hAnsi="Consolas"/>
      <w:b w:val="0"/>
      <w:color w:val="373737"/>
      <w:sz w:val="19"/>
    </w:rPr>
  </w:style>
  <w:style w:type="character" w:customStyle="1" w:styleId="CodeBold">
    <w:name w:val="CodeBold"/>
    <w:rPr>
      <w:rFonts w:ascii="Consolas" w:hAnsi="Consolas"/>
      <w:b/>
      <w:color w:val="22427C"/>
      <w:sz w:val="19"/>
    </w:rPr>
  </w:style>
  <w:style w:type="character" w:customStyle="1" w:styleId="SmallCaps">
    <w:name w:val="SmallCaps"/>
    <w:rPr>
      <w:rFonts w:ascii="Aptos" w:hAnsi="Aptos"/>
      <w:b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