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left"/>
      </w:pPr>
      <w:r>
        <w:rPr>
          <w:b w:val="0"/>
          <w:color w:val="17305C"/>
        </w:rPr>
        <w:t>Esyy Flow · UX-ODP-Tree-01</w:t>
      </w:r>
    </w:p>
    <w:p>
      <w:pPr>
        <w:pStyle w:val="Heading1"/>
        <w:spacing w:after="40"/>
      </w:pPr>
      <w:r>
        <w:rPr>
          <w:b w:val="0"/>
          <w:color w:val="1F3D73"/>
        </w:rPr>
        <w:t>Cockpit ODP unico con struttura gerarchica / ad albero</w:t>
      </w:r>
    </w:p>
    <w:p>
      <w:pPr>
        <w:spacing w:after="200"/>
      </w:pPr>
      <w:r>
        <w:rPr>
          <w:b w:val="0"/>
        </w:rPr>
        <w:t>Documento UX/UI specialistico di follow-up basato sulla baseline funzionale ODP e sulla visualizzazione confermata nel canvas “Odp Cockpit Tree Mockup”.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1FF"/>
            <w:vAlign w:val="center"/>
          </w:tcPr>
          <w:p>
            <w:pPr>
              <w:spacing w:after="40"/>
            </w:pPr>
            <w:r>
              <w:t>Responsabile UX/UI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>
              <w:t>Marit</w:t>
            </w:r>
          </w:p>
        </w:tc>
      </w:tr>
      <w:tr>
        <w:tc>
          <w:tcPr>
            <w:tcW w:type="dxa" w:w="4986"/>
            <w:shd w:fill="EAF1FF"/>
            <w:vAlign w:val="center"/>
          </w:tcPr>
          <w:p>
            <w:pPr>
              <w:spacing w:after="40"/>
            </w:pPr>
            <w:r>
              <w:t>Stato deliverable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>
              <w:t>v1 confermata su mockup tree-grid compatto</w:t>
            </w:r>
          </w:p>
        </w:tc>
      </w:tr>
      <w:tr>
        <w:tc>
          <w:tcPr>
            <w:tcW w:type="dxa" w:w="4986"/>
            <w:shd w:fill="EAF1FF"/>
            <w:vAlign w:val="center"/>
          </w:tcPr>
          <w:p>
            <w:pPr>
              <w:spacing w:after="40"/>
            </w:pPr>
            <w:r>
              <w:t>Obiettivo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>
              <w:t>Definire il nuovo cockpit ODP principale come cabina di regia operativa compatta, riducendo il ricorso a pagine ODP separate</w:t>
            </w:r>
          </w:p>
        </w:tc>
      </w:tr>
    </w:tbl>
    <w:p/>
    <w:p>
      <w:pPr>
        <w:pStyle w:val="Heading1"/>
        <w:spacing w:after="80"/>
      </w:pPr>
      <w:r>
        <w:rPr>
          <w:b w:val="0"/>
        </w:rPr>
        <w:t>1. Obiettivo del follow-up</w:t>
      </w:r>
    </w:p>
    <w:p>
      <w:pPr>
        <w:spacing w:after="80"/>
      </w:pPr>
      <w:r>
        <w:rPr>
          <w:b w:val="0"/>
        </w:rPr>
        <w:t>Tradurre la nuova impostazione funzionale dell’ODP in una proposta UX/UI concreta, coerente con il design system già consolidato e con i pattern di progressive disclosure, linked entities e separazione office / shopfloor.</w:t>
      </w:r>
    </w:p>
    <w:p>
      <w:pPr>
        <w:spacing w:after="80"/>
      </w:pPr>
      <w:r>
        <w:rPr>
          <w:b w:val="0"/>
        </w:rPr>
        <w:t>Il cockpit ODP non sostituisce immediatamente tutte le viste esistenti, ma diventa il nuovo punto di ingresso principale. Le viste baseline già approvate — dettaglio ODP, fasi ODP e materiali effettivi — restano disponibili come fallback e approfondimento.</w:t>
      </w:r>
    </w:p>
    <w:p>
      <w:pPr>
        <w:pStyle w:val="Heading1"/>
        <w:spacing w:after="80"/>
      </w:pPr>
      <w:r>
        <w:rPr>
          <w:b w:val="0"/>
        </w:rPr>
        <w:t>2. Decisione visuale confermata</w:t>
      </w:r>
    </w:p>
    <w:p>
      <w:pPr>
        <w:spacing w:after="80"/>
      </w:pPr>
      <w:r>
        <w:rPr>
          <w:b w:val="0"/>
        </w:rPr>
        <w:t>La direzione confermata è un layout compatto di tipo tree-grid, non una dashboard composta da molte card indipendenti.</w:t>
      </w:r>
    </w:p>
    <w:p>
      <w:pPr>
        <w:pStyle w:val="ListBullet"/>
      </w:pPr>
      <w:r>
        <w:t>testata ODP sempre visibile e sintetica</w:t>
      </w:r>
    </w:p>
    <w:p>
      <w:pPr>
        <w:pStyle w:val="ListBullet"/>
      </w:pPr>
      <w:r>
        <w:t>corpo centrale unico con struttura gerarchica ODP → fasi → materiali → movimenti / eventi</w:t>
      </w:r>
    </w:p>
    <w:p>
      <w:pPr>
        <w:pStyle w:val="ListBullet"/>
      </w:pPr>
      <w:r>
        <w:t>click sulla riga come interazione principale per selezione ed espansione/collasso</w:t>
      </w:r>
    </w:p>
    <w:p>
      <w:pPr>
        <w:pStyle w:val="ListBullet"/>
      </w:pPr>
      <w:r>
        <w:t>poche icone a destra della riga per i rimandi a dettagli correlati</w:t>
      </w:r>
    </w:p>
    <w:p>
      <w:pPr>
        <w:pStyle w:val="ListBullet"/>
      </w:pPr>
      <w:r>
        <w:t>drawer laterale in sovraimpressione per il dettaglio operativo del nodo selezionato</w:t>
      </w:r>
    </w:p>
    <w:p>
      <w:pPr>
        <w:pStyle w:val="ListBullet"/>
      </w:pPr>
      <w:r>
        <w:t>rumore visivo ridotto e controllo maggiore rispetto a un cockpit ricco di pulsanti distribuiti</w:t>
      </w:r>
    </w:p>
    <w:p>
      <w:pPr>
        <w:pStyle w:val="Heading1"/>
        <w:spacing w:after="80"/>
      </w:pPr>
      <w:r>
        <w:rPr>
          <w:b w:val="0"/>
        </w:rPr>
        <w:t>3. Gerarchia delle informazioni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CE9FF"/>
          </w:tcPr>
          <w:p>
            <w:pPr>
              <w:spacing w:after="40"/>
            </w:pPr>
            <w:r>
              <w:t>Livello</w:t>
            </w:r>
          </w:p>
        </w:tc>
        <w:tc>
          <w:tcPr>
            <w:tcW w:type="dxa" w:w="2493"/>
            <w:shd w:fill="DCE9FF"/>
          </w:tcPr>
          <w:p>
            <w:pPr>
              <w:spacing w:after="40"/>
            </w:pPr>
            <w:r>
              <w:t>Contenuto</w:t>
            </w:r>
          </w:p>
        </w:tc>
        <w:tc>
          <w:tcPr>
            <w:tcW w:type="dxa" w:w="2493"/>
            <w:shd w:fill="DCE9FF"/>
          </w:tcPr>
          <w:p>
            <w:pPr>
              <w:spacing w:after="40"/>
            </w:pPr>
            <w:r>
              <w:t>Visibilità</w:t>
            </w:r>
          </w:p>
        </w:tc>
        <w:tc>
          <w:tcPr>
            <w:tcW w:type="dxa" w:w="2493"/>
            <w:shd w:fill="DCE9FF"/>
          </w:tcPr>
          <w:p>
            <w:pPr>
              <w:spacing w:after="40"/>
            </w:pPr>
            <w:r>
              <w:t>Note UX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t>Testata ODP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t>Sempre visibile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t>Stato generale, commessa, avanzamento, criticità, prossima azione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t>1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t>Fasi ODP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t>Viste nel tree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t>Righe principali cliccabili, con stato e sintesi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t>Materiali di fase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t>Espansione on demand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t>Mostrati solo dove serve, con focus su criticità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t>Movimenti / missioni / eventi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t>Dettaglio successivo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t>Appendice del ramo, non vista primaria</w:t>
            </w:r>
          </w:p>
        </w:tc>
      </w:tr>
    </w:tbl>
    <w:p/>
    <w:p>
      <w:pPr>
        <w:pStyle w:val="Heading1"/>
        <w:spacing w:after="80"/>
      </w:pPr>
      <w:r>
        <w:rPr>
          <w:b w:val="0"/>
        </w:rPr>
        <w:t>4. Comportamento della tree-grid</w:t>
      </w:r>
    </w:p>
    <w:p>
      <w:pPr>
        <w:pStyle w:val="ListBullet"/>
      </w:pPr>
      <w:r>
        <w:t>Un click sulla riga seleziona il nodo e, se il nodo ha figli, ne gestisce l’espansione o il collasso.</w:t>
      </w:r>
    </w:p>
    <w:p>
      <w:pPr>
        <w:pStyle w:val="ListBullet"/>
      </w:pPr>
      <w:r>
        <w:t>L’indentazione definisce la gerarchia; l’utente non deve leggere card annidate per capire i livelli.</w:t>
      </w:r>
    </w:p>
    <w:p>
      <w:pPr>
        <w:pStyle w:val="ListBullet"/>
      </w:pPr>
      <w:r>
        <w:t>Le colonne restano poche e stabili: nodo, stato, sintesi, meta, link.</w:t>
      </w:r>
    </w:p>
    <w:p>
      <w:pPr>
        <w:pStyle w:val="ListBullet"/>
      </w:pPr>
      <w:r>
        <w:t>Le icone di rimando non sostituiscono la navigazione principale: servono solo come shortcut a dettagli correlati.</w:t>
      </w:r>
    </w:p>
    <w:p>
      <w:pPr>
        <w:pStyle w:val="ListBullet"/>
      </w:pPr>
      <w:r>
        <w:t>Il drawer riceve sempre il focus del dettaglio, evitando di aprire nuove pagine per ogni approfondimento operativo.</w:t>
      </w:r>
    </w:p>
    <w:p>
      <w:pPr>
        <w:pStyle w:val="Heading1"/>
        <w:spacing w:after="80"/>
      </w:pPr>
      <w:r>
        <w:rPr>
          <w:b w:val="0"/>
        </w:rPr>
        <w:t>5. Pattern visivi confermati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CE9FF"/>
          </w:tcPr>
          <w:p>
            <w:pPr>
              <w:spacing w:after="40"/>
            </w:pPr>
            <w:r>
              <w:t>Caso</w:t>
            </w:r>
          </w:p>
        </w:tc>
        <w:tc>
          <w:tcPr>
            <w:tcW w:type="dxa" w:w="3324"/>
            <w:shd w:fill="DCE9FF"/>
          </w:tcPr>
          <w:p>
            <w:pPr>
              <w:spacing w:after="40"/>
            </w:pPr>
            <w:r>
              <w:t>Segnale visivo</w:t>
            </w:r>
          </w:p>
        </w:tc>
        <w:tc>
          <w:tcPr>
            <w:tcW w:type="dxa" w:w="3324"/>
            <w:shd w:fill="DCE9FF"/>
          </w:tcPr>
          <w:p>
            <w:pPr>
              <w:spacing w:after="40"/>
            </w:pPr>
            <w:r>
              <w:t>Comportamento atteso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t>Fase bloccata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t>icona lucchetto + badge rosso discreto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t>motivo leggibile e accesso rapido al nodo / conto lavoro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t>Fase in ritardo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t>icona tempo + badge ambra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t>delta temporale sintetico senza sovraccarico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t>Materiale critico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t>warning rosso + sintesi quantità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t>richiamo sul materiale e sul nodo fase padre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t>Richiesta trasferimento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t>evento / missione come ramo figlio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t>visibile solo quando il ramo è aperto o il nodo è selezionato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t>Fase esterna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t>icona dedicata + meta conto lavoro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t>collegamento rapido al dettaglio fase esterna</w:t>
            </w:r>
          </w:p>
        </w:tc>
      </w:tr>
    </w:tbl>
    <w:p/>
    <w:p>
      <w:pPr>
        <w:pStyle w:val="Heading1"/>
        <w:spacing w:after="80"/>
      </w:pPr>
      <w:r>
        <w:rPr>
          <w:b w:val="0"/>
        </w:rPr>
        <w:t>6. Drawer laterale</w:t>
      </w:r>
    </w:p>
    <w:p>
      <w:pPr>
        <w:spacing w:after="80"/>
      </w:pPr>
      <w:r>
        <w:rPr>
          <w:b w:val="0"/>
        </w:rPr>
        <w:t>Il drawer laterale è parte integrante del pattern e non un’aggiunta accessoria. Il suo ruolo è contenere il dettaglio contestuale del nodo selezionato senza spostare o rompere la lettura dell’albero.</w:t>
      </w:r>
    </w:p>
    <w:p>
      <w:pPr>
        <w:pStyle w:val="ListBullet"/>
      </w:pPr>
      <w:r>
        <w:t>headline del nodo selezionato</w:t>
      </w:r>
    </w:p>
    <w:p>
      <w:pPr>
        <w:pStyle w:val="ListBullet"/>
      </w:pPr>
      <w:r>
        <w:t>KPI o dati chiave del nodo</w:t>
      </w:r>
    </w:p>
    <w:p>
      <w:pPr>
        <w:pStyle w:val="ListBullet"/>
      </w:pPr>
      <w:r>
        <w:t>note operative sintetiche</w:t>
      </w:r>
    </w:p>
    <w:p>
      <w:pPr>
        <w:pStyle w:val="ListBullet"/>
      </w:pPr>
      <w:r>
        <w:t>rimandi correlati verso viste di approfondimento</w:t>
      </w:r>
    </w:p>
    <w:p>
      <w:pPr>
        <w:pStyle w:val="ListBullet"/>
      </w:pPr>
      <w:r>
        <w:t>nessuna duplicazione inutile della tree-grid nel drawer</w:t>
      </w:r>
    </w:p>
    <w:p>
      <w:pPr>
        <w:pStyle w:val="Heading1"/>
        <w:spacing w:after="80"/>
      </w:pPr>
      <w:r>
        <w:rPr>
          <w:b w:val="0"/>
        </w:rPr>
        <w:t>7. Iconografia applicata</w:t>
      </w:r>
    </w:p>
    <w:p>
      <w:pPr>
        <w:spacing w:after="80"/>
      </w:pPr>
      <w:r>
        <w:rPr>
          <w:b w:val="0"/>
        </w:rPr>
        <w:t>Il mockup confermato introduce anche una baseline iconografica da formalizzare nel design system. La logica proposta è usare un solo set principale coerente, con icone leggere e non decorative, riutilizzate sia in office sia in shopfloor.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CE9FF"/>
          </w:tcPr>
          <w:p>
            <w:r>
              <w:t>Concetto</w:t>
            </w:r>
          </w:p>
        </w:tc>
        <w:tc>
          <w:tcPr>
            <w:tcW w:type="dxa" w:w="4986"/>
            <w:shd w:fill="DCE9FF"/>
          </w:tcPr>
          <w:p>
            <w:r>
              <w:t>Uso nel cockpit</w:t>
            </w:r>
          </w:p>
        </w:tc>
      </w:tr>
      <w:tr>
        <w:tc>
          <w:tcPr>
            <w:tcW w:type="dxa" w:w="4986"/>
          </w:tcPr>
          <w:p>
            <w:r>
              <w:t>ODP</w:t>
            </w:r>
          </w:p>
        </w:tc>
        <w:tc>
          <w:tcPr>
            <w:tcW w:type="dxa" w:w="4986"/>
          </w:tcPr>
          <w:p>
            <w:r>
              <w:t>nodo root della struttura</w:t>
            </w:r>
          </w:p>
        </w:tc>
      </w:tr>
      <w:tr>
        <w:tc>
          <w:tcPr>
            <w:tcW w:type="dxa" w:w="4986"/>
          </w:tcPr>
          <w:p>
            <w:r>
              <w:t>Fase interna</w:t>
            </w:r>
          </w:p>
        </w:tc>
        <w:tc>
          <w:tcPr>
            <w:tcW w:type="dxa" w:w="4986"/>
          </w:tcPr>
          <w:p>
            <w:r>
              <w:t>nodo operativo standard</w:t>
            </w:r>
          </w:p>
        </w:tc>
      </w:tr>
      <w:tr>
        <w:tc>
          <w:tcPr>
            <w:tcW w:type="dxa" w:w="4986"/>
          </w:tcPr>
          <w:p>
            <w:r>
              <w:t>Fase esterna / conto lavoro</w:t>
            </w:r>
          </w:p>
        </w:tc>
        <w:tc>
          <w:tcPr>
            <w:tcW w:type="dxa" w:w="4986"/>
          </w:tcPr>
          <w:p>
            <w:r>
              <w:t>nodo esterno collegato</w:t>
            </w:r>
          </w:p>
        </w:tc>
      </w:tr>
      <w:tr>
        <w:tc>
          <w:tcPr>
            <w:tcW w:type="dxa" w:w="4986"/>
          </w:tcPr>
          <w:p>
            <w:r>
              <w:t>Materiale</w:t>
            </w:r>
          </w:p>
        </w:tc>
        <w:tc>
          <w:tcPr>
            <w:tcW w:type="dxa" w:w="4986"/>
          </w:tcPr>
          <w:p>
            <w:r>
              <w:t>nodo di consumo / disponibilità</w:t>
            </w:r>
          </w:p>
        </w:tc>
      </w:tr>
      <w:tr>
        <w:tc>
          <w:tcPr>
            <w:tcW w:type="dxa" w:w="4986"/>
          </w:tcPr>
          <w:p>
            <w:r>
              <w:t>Movimento / evento</w:t>
            </w:r>
          </w:p>
        </w:tc>
        <w:tc>
          <w:tcPr>
            <w:tcW w:type="dxa" w:w="4986"/>
          </w:tcPr>
          <w:p>
            <w:r>
              <w:t>ramo di dettaglio secondario</w:t>
            </w:r>
          </w:p>
        </w:tc>
      </w:tr>
      <w:tr>
        <w:tc>
          <w:tcPr>
            <w:tcW w:type="dxa" w:w="4986"/>
          </w:tcPr>
          <w:p>
            <w:r>
              <w:t>Tracciabilità / barcode</w:t>
            </w:r>
          </w:p>
        </w:tc>
        <w:tc>
          <w:tcPr>
            <w:tcW w:type="dxa" w:w="4986"/>
          </w:tcPr>
          <w:p>
            <w:r>
              <w:t>rimando rapido a genealogia e lotti</w:t>
            </w:r>
          </w:p>
        </w:tc>
      </w:tr>
      <w:tr>
        <w:tc>
          <w:tcPr>
            <w:tcW w:type="dxa" w:w="4986"/>
          </w:tcPr>
          <w:p>
            <w:r>
              <w:t>Apri dettaglio correlato</w:t>
            </w:r>
          </w:p>
        </w:tc>
        <w:tc>
          <w:tcPr>
            <w:tcW w:type="dxa" w:w="4986"/>
          </w:tcPr>
          <w:p>
            <w:r>
              <w:t>shortcut verso vista completa esterna al cockpit</w:t>
            </w:r>
          </w:p>
        </w:tc>
      </w:tr>
    </w:tbl>
    <w:p/>
    <w:p>
      <w:pPr>
        <w:pStyle w:val="Heading1"/>
        <w:spacing w:after="80"/>
      </w:pPr>
      <w:r>
        <w:rPr>
          <w:b w:val="0"/>
        </w:rPr>
        <w:t>8. Differenza UX tra ufficio e shopfloor</w:t>
      </w:r>
    </w:p>
    <w:p>
      <w:pPr>
        <w:spacing w:after="80"/>
      </w:pPr>
      <w:r>
        <w:rPr>
          <w:b w:val="0"/>
        </w:rPr>
        <w:t>La logica di base resta la stessa, ma l’applicazione cambia densità e focus.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CE9FF"/>
          </w:tcPr>
          <w:p>
            <w:r>
              <w:t>Aspetto</w:t>
            </w:r>
          </w:p>
        </w:tc>
        <w:tc>
          <w:tcPr>
            <w:tcW w:type="dxa" w:w="3324"/>
            <w:shd w:fill="DCE9FF"/>
          </w:tcPr>
          <w:p>
            <w:r>
              <w:t>Vista ufficio</w:t>
            </w:r>
          </w:p>
        </w:tc>
        <w:tc>
          <w:tcPr>
            <w:tcW w:type="dxa" w:w="3324"/>
            <w:shd w:fill="DCE9FF"/>
          </w:tcPr>
          <w:p>
            <w:r>
              <w:t>Vista shopfloor / MES</w:t>
            </w:r>
          </w:p>
        </w:tc>
      </w:tr>
      <w:tr>
        <w:tc>
          <w:tcPr>
            <w:tcW w:type="dxa" w:w="3324"/>
          </w:tcPr>
          <w:p>
            <w:r>
              <w:t>Densità</w:t>
            </w:r>
          </w:p>
        </w:tc>
        <w:tc>
          <w:tcPr>
            <w:tcW w:type="dxa" w:w="3324"/>
          </w:tcPr>
          <w:p>
            <w:r>
              <w:t>più informazioni simultanee</w:t>
            </w:r>
          </w:p>
        </w:tc>
        <w:tc>
          <w:tcPr>
            <w:tcW w:type="dxa" w:w="3324"/>
          </w:tcPr>
          <w:p>
            <w:r>
              <w:t>più compatta e task-first</w:t>
            </w:r>
          </w:p>
        </w:tc>
      </w:tr>
      <w:tr>
        <w:tc>
          <w:tcPr>
            <w:tcW w:type="dxa" w:w="3324"/>
          </w:tcPr>
          <w:p>
            <w:r>
              <w:t>Nodi aperti</w:t>
            </w:r>
          </w:p>
        </w:tc>
        <w:tc>
          <w:tcPr>
            <w:tcW w:type="dxa" w:w="3324"/>
          </w:tcPr>
          <w:p>
            <w:r>
              <w:t>possono convivere più rami aperti</w:t>
            </w:r>
          </w:p>
        </w:tc>
        <w:tc>
          <w:tcPr>
            <w:tcW w:type="dxa" w:w="3324"/>
          </w:tcPr>
          <w:p>
            <w:r>
              <w:t>pochi rami aperti, priorità alla fase attiva</w:t>
            </w:r>
          </w:p>
        </w:tc>
      </w:tr>
      <w:tr>
        <w:tc>
          <w:tcPr>
            <w:tcW w:type="dxa" w:w="3324"/>
          </w:tcPr>
          <w:p>
            <w:r>
              <w:t>Drawer</w:t>
            </w:r>
          </w:p>
        </w:tc>
        <w:tc>
          <w:tcPr>
            <w:tcW w:type="dxa" w:w="3324"/>
          </w:tcPr>
          <w:p>
            <w:r>
              <w:t>più ricco di informazioni e rimandi</w:t>
            </w:r>
          </w:p>
        </w:tc>
        <w:tc>
          <w:tcPr>
            <w:tcW w:type="dxa" w:w="3324"/>
          </w:tcPr>
          <w:p>
            <w:r>
              <w:t>più essenziale e orientato all’azione</w:t>
            </w:r>
          </w:p>
        </w:tc>
      </w:tr>
      <w:tr>
        <w:tc>
          <w:tcPr>
            <w:tcW w:type="dxa" w:w="3324"/>
          </w:tcPr>
          <w:p>
            <w:r>
              <w:t>Uso icone</w:t>
            </w:r>
          </w:p>
        </w:tc>
        <w:tc>
          <w:tcPr>
            <w:tcW w:type="dxa" w:w="3324"/>
          </w:tcPr>
          <w:p>
            <w:r>
              <w:t>rimandi a più contesti correlati</w:t>
            </w:r>
          </w:p>
        </w:tc>
        <w:tc>
          <w:tcPr>
            <w:tcW w:type="dxa" w:w="3324"/>
          </w:tcPr>
          <w:p>
            <w:r>
              <w:t>rimandi minimi e ad alta leggibilità</w:t>
            </w:r>
          </w:p>
        </w:tc>
      </w:tr>
    </w:tbl>
    <w:p/>
    <w:p>
      <w:pPr>
        <w:pStyle w:val="Heading1"/>
        <w:spacing w:after="80"/>
      </w:pPr>
      <w:r>
        <w:rPr>
          <w:b w:val="0"/>
        </w:rPr>
        <w:t>9. Perimetro V1 vs fuori V1</w:t>
      </w:r>
    </w:p>
    <w:p>
      <w:pPr>
        <w:pStyle w:val="ListBullet"/>
      </w:pPr>
      <w:r>
        <w:t>Dentro V1: cockpit unico, tree-grid compatta, click riga per espansione, drawer contestuale, segnali di stato, link rapidi a dettagli ODP / conto lavoro / tracciabilità.</w:t>
      </w:r>
    </w:p>
    <w:p>
      <w:pPr>
        <w:pStyle w:val="ListBullet"/>
      </w:pPr>
      <w:r>
        <w:t>Fuori V1: editing massivo multi-livello, configurazione utente del layout del cockpit, orchestrazioni avanzate e automazioni profonde del tree.</w:t>
      </w:r>
    </w:p>
    <w:p>
      <w:pPr>
        <w:pStyle w:val="Heading1"/>
        <w:spacing w:after="80"/>
      </w:pPr>
      <w:r>
        <w:rPr>
          <w:b w:val="0"/>
        </w:rPr>
        <w:t>10. Indicazioni implementative per Isabell</w:t>
      </w:r>
    </w:p>
    <w:p>
      <w:pPr>
        <w:pStyle w:val="ListBullet"/>
      </w:pPr>
      <w:r>
        <w:t>trattare il cockpit come nuova vista primaria del dominio ODP, non come variante cosmetica della pagina dettaglio</w:t>
      </w:r>
    </w:p>
    <w:p>
      <w:pPr>
        <w:pStyle w:val="ListBullet"/>
      </w:pPr>
      <w:r>
        <w:t>mantenere disponibili le viste baseline esistenti come fallback navigabile</w:t>
      </w:r>
    </w:p>
    <w:p>
      <w:pPr>
        <w:pStyle w:val="ListBullet"/>
      </w:pPr>
      <w:r>
        <w:t>limitare i controlli inline per riga e privilegiare selezione + drawer</w:t>
      </w:r>
    </w:p>
    <w:p>
      <w:pPr>
        <w:pStyle w:val="ListBullet"/>
      </w:pPr>
      <w:r>
        <w:t>preservare colonne e gerarchia stabili, senza trasformare ogni livello in una card autonoma</w:t>
      </w:r>
    </w:p>
    <w:p>
      <w:pPr>
        <w:pStyle w:val="ListBullet"/>
      </w:pPr>
      <w:r>
        <w:t>formalizzare lo stesso pattern nel design system per poterlo riusare in altri contesti gerarchici futuri</w:t>
      </w:r>
    </w:p>
    <w:p>
      <w:pPr>
        <w:pStyle w:val="Heading1"/>
        <w:spacing w:after="80"/>
      </w:pPr>
      <w:r>
        <w:rPr>
          <w:b w:val="0"/>
        </w:rPr>
        <w:t>11. Conclusione</w:t>
      </w:r>
    </w:p>
    <w:p>
      <w:pPr>
        <w:spacing w:after="80"/>
      </w:pPr>
      <w:r>
        <w:rPr>
          <w:b w:val="0"/>
        </w:rPr>
        <w:t>Il follow-up UX/UI sul blocco ODP si considera chiuso positivamente con conferma della direzione tree-grid compatta. La nuova proposta riduce il rumore visivo, aumenta il controllo e trasforma l’ODP in una vera cabina di regia operativa compatta, coerente con la baseline di prodotto.</w:t>
      </w:r>
    </w:p>
    <w:sectPr w:rsidR="00FC693F" w:rsidRPr="0006063C" w:rsidSect="00034616">
      <w:foot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Esyy Flow · UX-ODP-Tree-01 · Marit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