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938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yy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938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Esyy Flow</w:t>
        <w:br/>
      </w:r>
      <w:r>
        <w:t>Analisi funzionale trasversale</w:t>
        <w:br/>
        <w:t>Campi personalizzati / attributi dinamici tenant-scoped</w:t>
      </w:r>
    </w:p>
    <w:p>
      <w:pPr>
        <w:pStyle w:val="Subtitle"/>
        <w:jc w:val="center"/>
      </w:pPr>
      <w:r>
        <w:t>Deliverable di baseline funzionale</w:t>
        <w:br/>
      </w:r>
      <w:r>
        <w:t>Destinato a Michael, Nikolay, Ole, Marit, Isabell</w:t>
      </w:r>
    </w:p>
    <w:p>
      <w:pPr>
        <w:pStyle w:val="CustomBody"/>
        <w:jc w:val="center"/>
      </w:pPr>
      <w:r>
        <w:t>Autore: Larisa — Responsabile funzionale</w:t>
        <w:br/>
      </w:r>
      <w:r>
        <w:t>Progetto: Verticale Produzione + MES</w:t>
        <w:br/>
      </w:r>
      <w:r>
        <w:t>Stato: baseline funzionale pre-sviluppo</w:t>
        <w:br/>
      </w:r>
      <w:r>
        <w:t>Versione: 1.0</w:t>
        <w:br/>
      </w:r>
      <w:r>
        <w:t>Data: 24 aprile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EAEA"/>
          </w:tcPr>
          <w:p>
            <w:r>
              <w:t>Oggetto</w:t>
            </w:r>
          </w:p>
        </w:tc>
        <w:tc>
          <w:tcPr>
            <w:tcW w:type="dxa" w:w="4873"/>
          </w:tcPr>
          <w:p>
            <w:r>
              <w:t>Capacità trasversale di piattaforma per definire, governare e usare campi custom tenant-scoped su testate e righe.</w:t>
            </w:r>
          </w:p>
        </w:tc>
      </w:tr>
      <w:tr>
        <w:tc>
          <w:tcPr>
            <w:tcW w:type="dxa" w:w="4873"/>
            <w:shd w:fill="EAEAEA"/>
          </w:tcPr>
          <w:p>
            <w:r>
              <w:t>Output atteso</w:t>
            </w:r>
          </w:p>
        </w:tc>
        <w:tc>
          <w:tcPr>
            <w:tcW w:type="dxa" w:w="4873"/>
          </w:tcPr>
          <w:p>
            <w:r>
              <w:t>Baseline funzionale da passare a Nikolay (DB), Ole (ERP/service layer), Marit (UX/wizard) e Isabell (sviluppo a slice incrementali).</w:t>
            </w:r>
          </w:p>
        </w:tc>
      </w:tr>
    </w:tbl>
    <w:p>
      <w:r>
        <w:br w:type="page"/>
      </w:r>
    </w:p>
    <w:p>
      <w:pPr>
        <w:pStyle w:val="Heading1"/>
      </w:pPr>
      <w:r>
        <w:t>1. Scopo del deliverable</w:t>
      </w:r>
    </w:p>
    <w:p>
      <w:pPr/>
      <w:r>
        <w:t>Definire la baseline funzionale della capacità di gestire campi personalizzati o attributi dinamici tenant-scoped in Esyy Flow, trattandoli come funzionalità trasversale di piattaforma e non come personalizzazione puntuale di una singola schermata.</w:t>
      </w:r>
    </w:p>
    <w:p>
      <w:pPr>
        <w:spacing w:after="20"/>
        <w:ind w:left="227"/>
      </w:pPr>
      <w:r>
        <w:t>• Chiarire dove i campi custom sono ammessi nella V1 e con quale granularità.</w:t>
      </w:r>
    </w:p>
    <w:p>
      <w:pPr>
        <w:spacing w:after="20"/>
        <w:ind w:left="227"/>
      </w:pPr>
      <w:r>
        <w:t>• Definire le regole funzionali comuni per testate, righe, visibilità, editabilità, obbligatorietà, default, propagazione, filtri, report, export, etichette e audit.</w:t>
      </w:r>
    </w:p>
    <w:p>
      <w:pPr>
        <w:spacing w:after="20"/>
        <w:ind w:left="227"/>
      </w:pPr>
      <w:r>
        <w:t>• Stabilire il confine V1 e ciò che resta fuori per evitare deriva progettuale.</w:t>
      </w:r>
    </w:p>
    <w:p>
      <w:pPr>
        <w:spacing w:after="20"/>
        <w:ind w:left="227"/>
      </w:pPr>
      <w:r>
        <w:t>• Preparare un documento sufficientemente solido per guidare DB, UX, integrazioni e sviluppo incrementale.</w:t>
      </w:r>
    </w:p>
    <w:p>
      <w:pPr>
        <w:pStyle w:val="Heading1"/>
      </w:pPr>
      <w:r>
        <w:t>2. Posizionamento nel quadro di progetto</w:t>
      </w:r>
    </w:p>
    <w:p>
      <w:pPr/>
      <w:r>
        <w:t>La capacità di campi personalizzati deve essere coerente con l’impostazione generale del prodotto: SaaS multi-tenant, forte configurabilità per tenant, separazione tra template e istanza operativa, audit by design, estendibilità verso integrazioni ERP e gestione applicativa prevalente delle logiche operative.</w:t>
      </w:r>
    </w:p>
    <w:p>
      <w:pPr>
        <w:spacing w:after="20"/>
        <w:ind w:left="227"/>
      </w:pPr>
      <w:r>
        <w:t>• Tenant-scoped per default.</w:t>
      </w:r>
    </w:p>
    <w:p>
      <w:pPr>
        <w:spacing w:after="20"/>
        <w:ind w:left="227"/>
      </w:pPr>
      <w:r>
        <w:t>• Configurazione governata da admin tenant con audit trail.</w:t>
      </w:r>
    </w:p>
    <w:p>
      <w:pPr>
        <w:spacing w:after="20"/>
        <w:ind w:left="227"/>
      </w:pPr>
      <w:r>
        <w:t>• Impatto su pagine operative, griglie, report, etichette e integrazioni.</w:t>
      </w:r>
    </w:p>
    <w:p>
      <w:pPr>
        <w:spacing w:after="20"/>
        <w:ind w:left="227"/>
      </w:pPr>
      <w:r>
        <w:t>• Nessun superamento dei confini di dominio già approvati: ODP, fasi, missioni, conto lavoro, qualità, tracciabilità, admin tenant e SaaS governance.</w:t>
      </w:r>
    </w:p>
    <w:p>
      <w:pPr>
        <w:pStyle w:val="Heading1"/>
      </w:pPr>
      <w:r>
        <w:t>3. Obiettivi funzionali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t>Obiettivo</w:t>
            </w:r>
          </w:p>
        </w:tc>
        <w:tc>
          <w:tcPr>
            <w:tcW w:type="dxa" w:w="4873"/>
            <w:shd w:fill="D9EAF7"/>
          </w:tcPr>
          <w:p>
            <w:r>
              <w:t>Descrizione</w:t>
            </w:r>
          </w:p>
        </w:tc>
      </w:tr>
      <w:tr>
        <w:tc>
          <w:tcPr>
            <w:tcW w:type="dxa" w:w="4873"/>
          </w:tcPr>
          <w:p>
            <w:r>
              <w:t>Configurabilità business</w:t>
            </w:r>
          </w:p>
        </w:tc>
        <w:tc>
          <w:tcPr>
            <w:tcW w:type="dxa" w:w="4873"/>
          </w:tcPr>
          <w:p>
            <w:r>
              <w:t>Consentire al tenant di modellare attributi aggiuntivi senza attendere modifiche di codice per ogni esigenza locale.</w:t>
            </w:r>
          </w:p>
        </w:tc>
      </w:tr>
      <w:tr>
        <w:tc>
          <w:tcPr>
            <w:tcW w:type="dxa" w:w="4873"/>
          </w:tcPr>
          <w:p>
            <w:r>
              <w:t>Governance</w:t>
            </w:r>
          </w:p>
        </w:tc>
        <w:tc>
          <w:tcPr>
            <w:tcW w:type="dxa" w:w="4873"/>
          </w:tcPr>
          <w:p>
            <w:r>
              <w:t>Garantire regole comuni di naming, sicurezza, audit, versioning e consumo applicativo.</w:t>
            </w:r>
          </w:p>
        </w:tc>
      </w:tr>
      <w:tr>
        <w:tc>
          <w:tcPr>
            <w:tcW w:type="dxa" w:w="4873"/>
          </w:tcPr>
          <w:p>
            <w:r>
              <w:t>Riutilizzo trasversale</w:t>
            </w:r>
          </w:p>
        </w:tc>
        <w:tc>
          <w:tcPr>
            <w:tcW w:type="dxa" w:w="4873"/>
          </w:tcPr>
          <w:p>
            <w:r>
              <w:t>Fare in modo che un campo custom possa essere usato in schermate, filtri, griglie, report, export, etichette e – quando sostenibile – integrazioni ERP.</w:t>
            </w:r>
          </w:p>
        </w:tc>
      </w:tr>
      <w:tr>
        <w:tc>
          <w:tcPr>
            <w:tcW w:type="dxa" w:w="4873"/>
          </w:tcPr>
          <w:p>
            <w:r>
              <w:t>Controllo della complessità</w:t>
            </w:r>
          </w:p>
        </w:tc>
        <w:tc>
          <w:tcPr>
            <w:tcW w:type="dxa" w:w="4873"/>
          </w:tcPr>
          <w:p>
            <w:r>
              <w:t>Limitare la V1 a un perimetro chiaro, evitando una piattaforma di scripting general purpose.</w:t>
            </w:r>
          </w:p>
        </w:tc>
      </w:tr>
    </w:tbl>
    <w:p>
      <w:pPr>
        <w:pStyle w:val="Heading1"/>
      </w:pPr>
      <w:r>
        <w:t>4. Principi guida</w:t>
      </w:r>
    </w:p>
    <w:p>
      <w:pPr>
        <w:spacing w:after="20"/>
        <w:ind w:left="227"/>
      </w:pPr>
      <w:r>
        <w:t>• Capacità di piattaforma: il modello deve valere in modo uniforme per più domini e non come eccezione per una singola pagina.</w:t>
      </w:r>
    </w:p>
    <w:p>
      <w:pPr>
        <w:spacing w:after="20"/>
        <w:ind w:left="227"/>
      </w:pPr>
      <w:r>
        <w:t>• Tenant ownership: definizione, visibilità, sicurezza e audit dei campi appartengono al tenant salvo oggetti globali SaaS.</w:t>
      </w:r>
    </w:p>
    <w:p>
      <w:pPr>
        <w:spacing w:after="20"/>
        <w:ind w:left="227"/>
      </w:pPr>
      <w:r>
        <w:t>• Separazione testata / righe: testate e righe hanno comportamento diverso e devono essere trattate con matrici funzionali distinte.</w:t>
      </w:r>
    </w:p>
    <w:p>
      <w:pPr>
        <w:spacing w:after="20"/>
        <w:ind w:left="227"/>
      </w:pPr>
      <w:r>
        <w:t>• No-code configurativo, non low-code arbitrario: niente formule Turing-complete, niente script custom, niente layout engine autonomo per ogni tenant.</w:t>
      </w:r>
    </w:p>
    <w:p>
      <w:pPr>
        <w:spacing w:after="20"/>
        <w:ind w:left="227"/>
      </w:pPr>
      <w:r>
        <w:t>• Compatibilità con la baseline DB: naming prevedibile, audit, versioning, tenant scope, chiavi tecniche e confini chiari tra dato strutturato e dato destrutturato.</w:t>
      </w:r>
    </w:p>
    <w:p>
      <w:pPr>
        <w:spacing w:after="20"/>
        <w:ind w:left="227"/>
      </w:pPr>
      <w:r>
        <w:t>• Consumo controllato: un campo definito non è automaticamente disponibile ovunque; la disponibilità deve essere esplicita per schermate, griglie, report, export, etichette e integrazioni.</w:t>
      </w:r>
    </w:p>
    <w:p>
      <w:pPr>
        <w:pStyle w:val="Heading1"/>
      </w:pPr>
      <w:r>
        <w:t>5. Definizioni funzionali base</w:t>
      </w:r>
    </w:p>
    <w:p>
      <w:pPr>
        <w:pStyle w:val="Heading2"/>
      </w:pPr>
      <w:r>
        <w:t>5.1 Campo personalizzato</w:t>
      </w:r>
    </w:p>
    <w:p>
      <w:pPr/>
      <w:r>
        <w:t>Attributo aggiuntivo definito dal tenant su un oggetto applicativo supportato, con metadati di configurazione propri: nome, codice, tipo, ambito, regole di visibilità/editabilità, default, eventuale propagazione, consumo applicativo, audit e stato.</w:t>
      </w:r>
    </w:p>
    <w:p>
      <w:pPr>
        <w:pStyle w:val="Heading2"/>
      </w:pPr>
      <w:r>
        <w:t>5.2 Attributo dinamico di testata</w:t>
      </w:r>
    </w:p>
    <w:p>
      <w:pPr/>
      <w:r>
        <w:t>Campo associato alla testata di un oggetto e riferito all’intera istanza dell’oggetto.</w:t>
      </w:r>
    </w:p>
    <w:p>
      <w:pPr>
        <w:pStyle w:val="Heading2"/>
      </w:pPr>
      <w:r>
        <w:t>5.3 Attributo dinamico di riga</w:t>
      </w:r>
    </w:p>
    <w:p>
      <w:pPr/>
      <w:r>
        <w:t>Campo associato a una riga figlia di un oggetto e valorizzato singolarmente per ogni riga.</w:t>
      </w:r>
    </w:p>
    <w:p>
      <w:pPr>
        <w:pStyle w:val="Heading2"/>
      </w:pPr>
      <w:r>
        <w:t>5.4 Campo calcolato</w:t>
      </w:r>
    </w:p>
    <w:p>
      <w:pPr/>
      <w:r>
        <w:t>Campo che non richiede input manuale diretto ma deriva da altri campi standard o custom tramite regole guidate e funzioni predefinite.</w:t>
      </w:r>
    </w:p>
    <w:p>
      <w:pPr>
        <w:pStyle w:val="Heading2"/>
      </w:pPr>
      <w:r>
        <w:t>5.5 Campo collegato ERP</w:t>
      </w:r>
    </w:p>
    <w:p>
      <w:pPr/>
      <w:r>
        <w:t>Campo custom la cui origine o destinazione dati è allineata a un attributo esterno ERP, in modalità sola lettura, scrittura o bidirezionale solo se realmente sostenibile.</w:t>
      </w:r>
    </w:p>
    <w:p>
      <w:pPr>
        <w:pStyle w:val="Heading1"/>
      </w:pPr>
      <w:r>
        <w:t>6. Architettura funzionale della capacità</w:t>
      </w:r>
    </w:p>
    <w:p>
      <w:pPr>
        <w:spacing w:after="20"/>
        <w:ind w:left="227"/>
      </w:pPr>
      <w:r>
        <w:t>• Catalogo definizioni campi custom per tenant.</w:t>
      </w:r>
    </w:p>
    <w:p>
      <w:pPr>
        <w:spacing w:after="20"/>
        <w:ind w:left="227"/>
      </w:pPr>
      <w:r>
        <w:t>• Associazione del campo a uno o più oggetti supportati e, se rilevante, a scope testata o righe.</w:t>
      </w:r>
    </w:p>
    <w:p>
      <w:pPr>
        <w:spacing w:after="20"/>
        <w:ind w:left="227"/>
      </w:pPr>
      <w:r>
        <w:t>• Regole di presentazione e sicurezza.</w:t>
      </w:r>
    </w:p>
    <w:p>
      <w:pPr>
        <w:spacing w:after="20"/>
        <w:ind w:left="227"/>
      </w:pPr>
      <w:r>
        <w:t>• Motore di default, validazione, propagazione e calcolo.</w:t>
      </w:r>
    </w:p>
    <w:p>
      <w:pPr>
        <w:spacing w:after="20"/>
        <w:ind w:left="227"/>
      </w:pPr>
      <w:r>
        <w:t>• Punti di consumo configurabili (schermata, colonna griglia, filtro, report, export, etichetta, integrazione).</w:t>
      </w:r>
    </w:p>
    <w:p>
      <w:pPr>
        <w:spacing w:after="20"/>
        <w:ind w:left="227"/>
      </w:pPr>
      <w:r>
        <w:t>• Audit e storico delle modifiche di configurazione.</w:t>
      </w:r>
    </w:p>
    <w:p>
      <w:pPr>
        <w:spacing w:after="20"/>
        <w:ind w:left="227"/>
      </w:pPr>
      <w:r>
        <w:t>• Versioning della definizione quando il cambio è strutturale e può impattare lo storico.</w:t>
      </w:r>
    </w:p>
    <w:p>
      <w:pPr>
        <w:pStyle w:val="Heading1"/>
      </w:pPr>
      <w:r>
        <w:t>7. Matrice oggetti supportati nella V1</w:t>
      </w:r>
    </w:p>
    <w:p>
      <w:pPr/>
      <w:r>
        <w:t>La V1 deve partire da un perimetro selettivo ma già trasversale. L’obiettivo non è coprire ogni oggetto del sistema, ma i domini con maggior valore operativo e maggior stabilità del modello.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AF7"/>
          </w:tcPr>
          <w:p>
            <w:r>
              <w:t>Oggetto</w:t>
            </w:r>
          </w:p>
        </w:tc>
        <w:tc>
          <w:tcPr>
            <w:tcW w:type="dxa" w:w="1949"/>
            <w:shd w:fill="D9EAF7"/>
          </w:tcPr>
          <w:p>
            <w:r>
              <w:t>Supporto V1</w:t>
            </w:r>
          </w:p>
        </w:tc>
        <w:tc>
          <w:tcPr>
            <w:tcW w:type="dxa" w:w="1949"/>
            <w:shd w:fill="D9EAF7"/>
          </w:tcPr>
          <w:p>
            <w:r>
              <w:t>Testata</w:t>
            </w:r>
          </w:p>
        </w:tc>
        <w:tc>
          <w:tcPr>
            <w:tcW w:type="dxa" w:w="1949"/>
            <w:shd w:fill="D9EAF7"/>
          </w:tcPr>
          <w:p>
            <w:r>
              <w:t>Righe</w:t>
            </w:r>
          </w:p>
        </w:tc>
        <w:tc>
          <w:tcPr>
            <w:tcW w:type="dxa" w:w="1949"/>
            <w:shd w:fill="D9EAF7"/>
          </w:tcPr>
          <w:p>
            <w:r>
              <w:t>Note V1</w:t>
            </w:r>
          </w:p>
        </w:tc>
      </w:tr>
      <w:tr>
        <w:tc>
          <w:tcPr>
            <w:tcW w:type="dxa" w:w="1949"/>
          </w:tcPr>
          <w:p>
            <w:r>
              <w:t>Articolo prodotto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No</w:t>
            </w:r>
          </w:p>
        </w:tc>
        <w:tc>
          <w:tcPr>
            <w:tcW w:type="dxa" w:w="1949"/>
          </w:tcPr>
          <w:p>
            <w:r>
              <w:t>Per attributi produttivi/locali non presenti su ERP.</w:t>
            </w:r>
          </w:p>
        </w:tc>
      </w:tr>
      <w:tr>
        <w:tc>
          <w:tcPr>
            <w:tcW w:type="dxa" w:w="1949"/>
          </w:tcPr>
          <w:p>
            <w:r>
              <w:t>DIBA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Rilevante per componenti e righe materiali.</w:t>
            </w:r>
          </w:p>
        </w:tc>
      </w:tr>
      <w:tr>
        <w:tc>
          <w:tcPr>
            <w:tcW w:type="dxa" w:w="1949"/>
          </w:tcPr>
          <w:p>
            <w:r>
              <w:t>Distinta ciclo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Righe fase/step supportate.</w:t>
            </w:r>
          </w:p>
        </w:tc>
      </w:tr>
      <w:tr>
        <w:tc>
          <w:tcPr>
            <w:tcW w:type="dxa" w:w="1949"/>
          </w:tcPr>
          <w:p>
            <w:r>
              <w:t>Modello produttivo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No</w:t>
            </w:r>
          </w:p>
        </w:tc>
        <w:tc>
          <w:tcPr>
            <w:tcW w:type="dxa" w:w="1949"/>
          </w:tcPr>
          <w:p>
            <w:r>
              <w:t>Preferenza a testata in V1.</w:t>
            </w:r>
          </w:p>
        </w:tc>
      </w:tr>
      <w:tr>
        <w:tc>
          <w:tcPr>
            <w:tcW w:type="dxa" w:w="1949"/>
          </w:tcPr>
          <w:p>
            <w:r>
              <w:t>Commessa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No</w:t>
            </w:r>
          </w:p>
        </w:tc>
        <w:tc>
          <w:tcPr>
            <w:tcW w:type="dxa" w:w="1949"/>
          </w:tcPr>
          <w:p>
            <w:r>
              <w:t>Oggetto cardine, alto valore per filtri e report.</w:t>
            </w:r>
          </w:p>
        </w:tc>
      </w:tr>
      <w:tr>
        <w:tc>
          <w:tcPr>
            <w:tcW w:type="dxa" w:w="1949"/>
          </w:tcPr>
          <w:p>
            <w:r>
              <w:t>ODP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No</w:t>
            </w:r>
          </w:p>
        </w:tc>
        <w:tc>
          <w:tcPr>
            <w:tcW w:type="dxa" w:w="1949"/>
          </w:tcPr>
          <w:p>
            <w:r>
              <w:t>Campo di testata prioritario.</w:t>
            </w:r>
          </w:p>
        </w:tc>
      </w:tr>
      <w:tr>
        <w:tc>
          <w:tcPr>
            <w:tcW w:type="dxa" w:w="1949"/>
          </w:tcPr>
          <w:p>
            <w:r>
              <w:t>Fasi ODP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No</w:t>
            </w:r>
          </w:p>
        </w:tc>
        <w:tc>
          <w:tcPr>
            <w:tcW w:type="dxa" w:w="1949"/>
          </w:tcPr>
          <w:p>
            <w:r>
              <w:t>Oggetto operativo reale; no sotto-righe in V1.</w:t>
            </w:r>
          </w:p>
        </w:tc>
      </w:tr>
      <w:tr>
        <w:tc>
          <w:tcPr>
            <w:tcW w:type="dxa" w:w="1949"/>
          </w:tcPr>
          <w:p>
            <w:r>
              <w:t>Materiali effettivi ODP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No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Scope riga.</w:t>
            </w:r>
          </w:p>
        </w:tc>
      </w:tr>
      <w:tr>
        <w:tc>
          <w:tcPr>
            <w:tcW w:type="dxa" w:w="1949"/>
          </w:tcPr>
          <w:p>
            <w:r>
              <w:t>Missioni materiale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Testata missione + righe prelievo.</w:t>
            </w:r>
          </w:p>
        </w:tc>
      </w:tr>
      <w:tr>
        <w:tc>
          <w:tcPr>
            <w:tcW w:type="dxa" w:w="1949"/>
          </w:tcPr>
          <w:p>
            <w:r>
              <w:t>Fase esterna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No</w:t>
            </w:r>
          </w:p>
        </w:tc>
        <w:tc>
          <w:tcPr>
            <w:tcW w:type="dxa" w:w="1949"/>
          </w:tcPr>
          <w:p>
            <w:r>
              <w:t>Molto utile per CTL.</w:t>
            </w:r>
          </w:p>
        </w:tc>
      </w:tr>
      <w:tr>
        <w:tc>
          <w:tcPr>
            <w:tcW w:type="dxa" w:w="1949"/>
          </w:tcPr>
          <w:p>
            <w:r>
              <w:t>Invio conto lavoro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Righe materiale/lotto.</w:t>
            </w:r>
          </w:p>
        </w:tc>
      </w:tr>
      <w:tr>
        <w:tc>
          <w:tcPr>
            <w:tcW w:type="dxa" w:w="1949"/>
          </w:tcPr>
          <w:p>
            <w:r>
              <w:t>Rientro conto lavoro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Righe con esiti per natura.</w:t>
            </w:r>
          </w:p>
        </w:tc>
      </w:tr>
      <w:tr>
        <w:tc>
          <w:tcPr>
            <w:tcW w:type="dxa" w:w="1949"/>
          </w:tcPr>
          <w:p>
            <w:r>
              <w:t>NC / evento qualità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No</w:t>
            </w:r>
          </w:p>
        </w:tc>
        <w:tc>
          <w:tcPr>
            <w:tcW w:type="dxa" w:w="1949"/>
          </w:tcPr>
          <w:p>
            <w:r>
              <w:t>Rilevante per trattamento.</w:t>
            </w:r>
          </w:p>
        </w:tc>
      </w:tr>
      <w:tr>
        <w:tc>
          <w:tcPr>
            <w:tcW w:type="dxa" w:w="1949"/>
          </w:tcPr>
          <w:p>
            <w:r>
              <w:t>Lotto / unità tracciata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Sì</w:t>
            </w:r>
          </w:p>
        </w:tc>
        <w:tc>
          <w:tcPr>
            <w:tcW w:type="dxa" w:w="1949"/>
          </w:tcPr>
          <w:p>
            <w:r>
              <w:t>No</w:t>
            </w:r>
          </w:p>
        </w:tc>
        <w:tc>
          <w:tcPr>
            <w:tcW w:type="dxa" w:w="1949"/>
          </w:tcPr>
          <w:p>
            <w:r>
              <w:t>Per attributi di tracciabilità locale.</w:t>
            </w:r>
          </w:p>
        </w:tc>
      </w:tr>
      <w:tr>
        <w:tc>
          <w:tcPr>
            <w:tcW w:type="dxa" w:w="1949"/>
          </w:tcPr>
          <w:p>
            <w:r>
              <w:t>Utente</w:t>
            </w:r>
          </w:p>
        </w:tc>
        <w:tc>
          <w:tcPr>
            <w:tcW w:type="dxa" w:w="1949"/>
          </w:tcPr>
          <w:p>
            <w:r>
              <w:t>No</w:t>
            </w:r>
          </w:p>
        </w:tc>
        <w:tc>
          <w:tcPr>
            <w:tcW w:type="dxa" w:w="1949"/>
          </w:tcPr>
          <w:p>
            <w:r>
              <w:t>—</w:t>
            </w:r>
          </w:p>
        </w:tc>
        <w:tc>
          <w:tcPr>
            <w:tcW w:type="dxa" w:w="1949"/>
          </w:tcPr>
          <w:p>
            <w:r>
              <w:t>—</w:t>
            </w:r>
          </w:p>
        </w:tc>
        <w:tc>
          <w:tcPr>
            <w:tcW w:type="dxa" w:w="1949"/>
          </w:tcPr>
          <w:p>
            <w:r>
              <w:t>Fuori V1: rischio governance e privacy.</w:t>
            </w:r>
          </w:p>
        </w:tc>
      </w:tr>
      <w:tr>
        <w:tc>
          <w:tcPr>
            <w:tcW w:type="dxa" w:w="1949"/>
          </w:tcPr>
          <w:p>
            <w:r>
              <w:t>Tenant settings</w:t>
            </w:r>
          </w:p>
        </w:tc>
        <w:tc>
          <w:tcPr>
            <w:tcW w:type="dxa" w:w="1949"/>
          </w:tcPr>
          <w:p>
            <w:r>
              <w:t>No</w:t>
            </w:r>
          </w:p>
        </w:tc>
        <w:tc>
          <w:tcPr>
            <w:tcW w:type="dxa" w:w="1949"/>
          </w:tcPr>
          <w:p>
            <w:r>
              <w:t>—</w:t>
            </w:r>
          </w:p>
        </w:tc>
        <w:tc>
          <w:tcPr>
            <w:tcW w:type="dxa" w:w="1949"/>
          </w:tcPr>
          <w:p>
            <w:r>
              <w:t>—</w:t>
            </w:r>
          </w:p>
        </w:tc>
        <w:tc>
          <w:tcPr>
            <w:tcW w:type="dxa" w:w="1949"/>
          </w:tcPr>
          <w:p>
            <w:r>
              <w:t>Fuori V1: usare configurazioni strutturate.</w:t>
            </w:r>
          </w:p>
        </w:tc>
      </w:tr>
    </w:tbl>
    <w:p>
      <w:pPr>
        <w:pStyle w:val="Heading1"/>
      </w:pPr>
      <w:r>
        <w:t>8. Matrice testata vs righe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r>
              <w:t>Aspetto</w:t>
            </w:r>
          </w:p>
        </w:tc>
        <w:tc>
          <w:tcPr>
            <w:tcW w:type="dxa" w:w="2436"/>
            <w:shd w:fill="D9EAF7"/>
          </w:tcPr>
          <w:p>
            <w:r>
              <w:t>Testata</w:t>
            </w:r>
          </w:p>
        </w:tc>
        <w:tc>
          <w:tcPr>
            <w:tcW w:type="dxa" w:w="2436"/>
            <w:shd w:fill="D9EAF7"/>
          </w:tcPr>
          <w:p>
            <w:r>
              <w:t>Righe</w:t>
            </w:r>
          </w:p>
        </w:tc>
        <w:tc>
          <w:tcPr>
            <w:tcW w:type="dxa" w:w="2436"/>
            <w:shd w:fill="D9EAF7"/>
          </w:tcPr>
          <w:p>
            <w:r>
              <w:t>Decisione V1</w:t>
            </w:r>
          </w:p>
        </w:tc>
      </w:tr>
      <w:tr>
        <w:tc>
          <w:tcPr>
            <w:tcW w:type="dxa" w:w="2436"/>
          </w:tcPr>
          <w:p>
            <w:r>
              <w:t>Cardinalità</w:t>
            </w:r>
          </w:p>
        </w:tc>
        <w:tc>
          <w:tcPr>
            <w:tcW w:type="dxa" w:w="2436"/>
          </w:tcPr>
          <w:p>
            <w:r>
              <w:t>1 valore per istanza oggetto</w:t>
            </w:r>
          </w:p>
        </w:tc>
        <w:tc>
          <w:tcPr>
            <w:tcW w:type="dxa" w:w="2436"/>
          </w:tcPr>
          <w:p>
            <w:r>
              <w:t>1 valore per riga figlia</w:t>
            </w:r>
          </w:p>
        </w:tc>
        <w:tc>
          <w:tcPr>
            <w:tcW w:type="dxa" w:w="2436"/>
          </w:tcPr>
          <w:p>
            <w:r>
              <w:t>Entrambi supportati dove l’oggetto è in matrice V1</w:t>
            </w:r>
          </w:p>
        </w:tc>
      </w:tr>
      <w:tr>
        <w:tc>
          <w:tcPr>
            <w:tcW w:type="dxa" w:w="2436"/>
          </w:tcPr>
          <w:p>
            <w:r>
              <w:t>Edit UI</w:t>
            </w:r>
          </w:p>
        </w:tc>
        <w:tc>
          <w:tcPr>
            <w:tcW w:type="dxa" w:w="2436"/>
          </w:tcPr>
          <w:p>
            <w:r>
              <w:t>Form dettaglio / testata pagina</w:t>
            </w:r>
          </w:p>
        </w:tc>
        <w:tc>
          <w:tcPr>
            <w:tcW w:type="dxa" w:w="2436"/>
          </w:tcPr>
          <w:p>
            <w:r>
              <w:t>Griglia, drawer riga o modale riga</w:t>
            </w:r>
          </w:p>
        </w:tc>
        <w:tc>
          <w:tcPr>
            <w:tcW w:type="dxa" w:w="2436"/>
          </w:tcPr>
          <w:p>
            <w:r>
              <w:t>No editing inline massivo avanzato in V1 se la UX diventa fragile</w:t>
            </w:r>
          </w:p>
        </w:tc>
      </w:tr>
      <w:tr>
        <w:tc>
          <w:tcPr>
            <w:tcW w:type="dxa" w:w="2436"/>
          </w:tcPr>
          <w:p>
            <w:r>
              <w:t>Visibilità</w:t>
            </w:r>
          </w:p>
        </w:tc>
        <w:tc>
          <w:tcPr>
            <w:tcW w:type="dxa" w:w="2436"/>
          </w:tcPr>
          <w:p>
            <w:r>
              <w:t>Per ruolo, stato, pagina, tenant</w:t>
            </w:r>
          </w:p>
        </w:tc>
        <w:tc>
          <w:tcPr>
            <w:tcW w:type="dxa" w:w="2436"/>
          </w:tcPr>
          <w:p>
            <w:r>
              <w:t>Per ruolo, stato, tipo riga, contesto</w:t>
            </w:r>
          </w:p>
        </w:tc>
        <w:tc>
          <w:tcPr>
            <w:tcW w:type="dxa" w:w="2436"/>
          </w:tcPr>
          <w:p>
            <w:r>
              <w:t>Riga può avere regole più restrittive</w:t>
            </w:r>
          </w:p>
        </w:tc>
      </w:tr>
      <w:tr>
        <w:tc>
          <w:tcPr>
            <w:tcW w:type="dxa" w:w="2436"/>
          </w:tcPr>
          <w:p>
            <w:r>
              <w:t>Obbligatorietà</w:t>
            </w:r>
          </w:p>
        </w:tc>
        <w:tc>
          <w:tcPr>
            <w:tcW w:type="dxa" w:w="2436"/>
          </w:tcPr>
          <w:p>
            <w:r>
              <w:t>Sempre gestibile</w:t>
            </w:r>
          </w:p>
        </w:tc>
        <w:tc>
          <w:tcPr>
            <w:tcW w:type="dxa" w:w="2436"/>
          </w:tcPr>
          <w:p>
            <w:r>
              <w:t>Gestibile se la riga è creabile/editabile</w:t>
            </w:r>
          </w:p>
        </w:tc>
        <w:tc>
          <w:tcPr>
            <w:tcW w:type="dxa" w:w="2436"/>
          </w:tcPr>
          <w:p>
            <w:r>
              <w:t>Su righe importate ERP solo se tecnicamente sostenibile</w:t>
            </w:r>
          </w:p>
        </w:tc>
      </w:tr>
      <w:tr>
        <w:tc>
          <w:tcPr>
            <w:tcW w:type="dxa" w:w="2436"/>
          </w:tcPr>
          <w:p>
            <w:r>
              <w:t>Default</w:t>
            </w:r>
          </w:p>
        </w:tc>
        <w:tc>
          <w:tcPr>
            <w:tcW w:type="dxa" w:w="2436"/>
          </w:tcPr>
          <w:p>
            <w:r>
              <w:t>Statico, lookup, copia da oggetto origine</w:t>
            </w:r>
          </w:p>
        </w:tc>
        <w:tc>
          <w:tcPr>
            <w:tcW w:type="dxa" w:w="2436"/>
          </w:tcPr>
          <w:p>
            <w:r>
              <w:t>Statico, copia da testata, copia da riga origine</w:t>
            </w:r>
          </w:p>
        </w:tc>
        <w:tc>
          <w:tcPr>
            <w:tcW w:type="dxa" w:w="2436"/>
          </w:tcPr>
          <w:p>
            <w:r>
              <w:t>Supportato</w:t>
            </w:r>
          </w:p>
        </w:tc>
      </w:tr>
      <w:tr>
        <w:tc>
          <w:tcPr>
            <w:tcW w:type="dxa" w:w="2436"/>
          </w:tcPr>
          <w:p>
            <w:r>
              <w:t>Propagazione</w:t>
            </w:r>
          </w:p>
        </w:tc>
        <w:tc>
          <w:tcPr>
            <w:tcW w:type="dxa" w:w="2436"/>
          </w:tcPr>
          <w:p>
            <w:r>
              <w:t>Verso oggetti figli/derivati</w:t>
            </w:r>
          </w:p>
        </w:tc>
        <w:tc>
          <w:tcPr>
            <w:tcW w:type="dxa" w:w="2436"/>
          </w:tcPr>
          <w:p>
            <w:r>
              <w:t>Verso righe derivate compatibili</w:t>
            </w:r>
          </w:p>
        </w:tc>
        <w:tc>
          <w:tcPr>
            <w:tcW w:type="dxa" w:w="2436"/>
          </w:tcPr>
          <w:p>
            <w:r>
              <w:t>Supporto selettivo, non indiscriminato</w:t>
            </w:r>
          </w:p>
        </w:tc>
      </w:tr>
      <w:tr>
        <w:tc>
          <w:tcPr>
            <w:tcW w:type="dxa" w:w="2436"/>
          </w:tcPr>
          <w:p>
            <w:r>
              <w:t>Griglie e filtri</w:t>
            </w:r>
          </w:p>
        </w:tc>
        <w:tc>
          <w:tcPr>
            <w:tcW w:type="dxa" w:w="2436"/>
          </w:tcPr>
          <w:p>
            <w:r>
              <w:t>Colonne e filtri semplici</w:t>
            </w:r>
          </w:p>
        </w:tc>
        <w:tc>
          <w:tcPr>
            <w:tcW w:type="dxa" w:w="2436"/>
          </w:tcPr>
          <w:p>
            <w:r>
              <w:t>Colonne e filtri su liste righe</w:t>
            </w:r>
          </w:p>
        </w:tc>
        <w:tc>
          <w:tcPr>
            <w:tcW w:type="dxa" w:w="2436"/>
          </w:tcPr>
          <w:p>
            <w:r>
              <w:t>Supportato nei punti di consumo abilitati</w:t>
            </w:r>
          </w:p>
        </w:tc>
      </w:tr>
      <w:tr>
        <w:tc>
          <w:tcPr>
            <w:tcW w:type="dxa" w:w="2436"/>
          </w:tcPr>
          <w:p>
            <w:r>
              <w:t>Etichette</w:t>
            </w:r>
          </w:p>
        </w:tc>
        <w:tc>
          <w:tcPr>
            <w:tcW w:type="dxa" w:w="2436"/>
          </w:tcPr>
          <w:p>
            <w:r>
              <w:t>Supporto pieno</w:t>
            </w:r>
          </w:p>
        </w:tc>
        <w:tc>
          <w:tcPr>
            <w:tcW w:type="dxa" w:w="2436"/>
          </w:tcPr>
          <w:p>
            <w:r>
              <w:t>Supporto se il contesto stampa è sulla riga</w:t>
            </w:r>
          </w:p>
        </w:tc>
        <w:tc>
          <w:tcPr>
            <w:tcW w:type="dxa" w:w="2436"/>
          </w:tcPr>
          <w:p>
            <w:r>
              <w:t>Supportato</w:t>
            </w:r>
          </w:p>
        </w:tc>
      </w:tr>
      <w:tr>
        <w:tc>
          <w:tcPr>
            <w:tcW w:type="dxa" w:w="2436"/>
          </w:tcPr>
          <w:p>
            <w:r>
              <w:t>ERP mapping</w:t>
            </w:r>
          </w:p>
        </w:tc>
        <w:tc>
          <w:tcPr>
            <w:tcW w:type="dxa" w:w="2436"/>
          </w:tcPr>
          <w:p>
            <w:r>
              <w:t>Più semplice</w:t>
            </w:r>
          </w:p>
        </w:tc>
        <w:tc>
          <w:tcPr>
            <w:tcW w:type="dxa" w:w="2436"/>
          </w:tcPr>
          <w:p>
            <w:r>
              <w:t>Più sensibile e selettivo</w:t>
            </w:r>
          </w:p>
        </w:tc>
        <w:tc>
          <w:tcPr>
            <w:tcW w:type="dxa" w:w="2436"/>
          </w:tcPr>
          <w:p>
            <w:r>
              <w:t>Righe in bidirezionale solo in casi realmente sostenibili</w:t>
            </w:r>
          </w:p>
        </w:tc>
      </w:tr>
    </w:tbl>
    <w:p>
      <w:pPr>
        <w:pStyle w:val="Heading1"/>
      </w:pPr>
      <w:r>
        <w:t>9. Catalogo tipi campo</w:t>
      </w:r>
    </w:p>
    <w:p>
      <w:pPr/>
      <w:r>
        <w:t>Il catalogo V1 deve essere sufficientemente ricco per coprire i casi reali, ma non eccessivo.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r>
              <w:t>Tipo</w:t>
            </w:r>
          </w:p>
        </w:tc>
        <w:tc>
          <w:tcPr>
            <w:tcW w:type="dxa" w:w="2436"/>
            <w:shd w:fill="D9EAF7"/>
          </w:tcPr>
          <w:p>
            <w:r>
              <w:t>Uso</w:t>
            </w:r>
          </w:p>
        </w:tc>
        <w:tc>
          <w:tcPr>
            <w:tcW w:type="dxa" w:w="2436"/>
            <w:shd w:fill="D9EAF7"/>
          </w:tcPr>
          <w:p>
            <w:r>
              <w:t>Supporto V1</w:t>
            </w:r>
          </w:p>
        </w:tc>
        <w:tc>
          <w:tcPr>
            <w:tcW w:type="dxa" w:w="2436"/>
            <w:shd w:fill="D9EAF7"/>
          </w:tcPr>
          <w:p>
            <w:r>
              <w:t>Note</w:t>
            </w:r>
          </w:p>
        </w:tc>
      </w:tr>
      <w:tr>
        <w:tc>
          <w:tcPr>
            <w:tcW w:type="dxa" w:w="2436"/>
          </w:tcPr>
          <w:p>
            <w:r>
              <w:t>Testo breve</w:t>
            </w:r>
          </w:p>
        </w:tc>
        <w:tc>
          <w:tcPr>
            <w:tcW w:type="dxa" w:w="2436"/>
          </w:tcPr>
          <w:p>
            <w:r>
              <w:t>Codici, riferimenti, valori sintetici</w:t>
            </w:r>
          </w:p>
        </w:tc>
        <w:tc>
          <w:tcPr>
            <w:tcW w:type="dxa" w:w="2436"/>
          </w:tcPr>
          <w:p>
            <w:r>
              <w:t>Sì</w:t>
            </w:r>
          </w:p>
        </w:tc>
        <w:tc>
          <w:tcPr>
            <w:tcW w:type="dxa" w:w="2436"/>
          </w:tcPr>
          <w:p>
            <w:r>
              <w:t>Lunghezza massima configurabile.</w:t>
            </w:r>
          </w:p>
        </w:tc>
      </w:tr>
      <w:tr>
        <w:tc>
          <w:tcPr>
            <w:tcW w:type="dxa" w:w="2436"/>
          </w:tcPr>
          <w:p>
            <w:r>
              <w:t>Testo lungo</w:t>
            </w:r>
          </w:p>
        </w:tc>
        <w:tc>
          <w:tcPr>
            <w:tcW w:type="dxa" w:w="2436"/>
          </w:tcPr>
          <w:p>
            <w:r>
              <w:t>Note strutturate locali</w:t>
            </w:r>
          </w:p>
        </w:tc>
        <w:tc>
          <w:tcPr>
            <w:tcW w:type="dxa" w:w="2436"/>
          </w:tcPr>
          <w:p>
            <w:r>
              <w:t>Sì</w:t>
            </w:r>
          </w:p>
        </w:tc>
        <w:tc>
          <w:tcPr>
            <w:tcW w:type="dxa" w:w="2436"/>
          </w:tcPr>
          <w:p>
            <w:r>
              <w:t>Non per utilizzi ad alta filtrabilità.</w:t>
            </w:r>
          </w:p>
        </w:tc>
      </w:tr>
      <w:tr>
        <w:tc>
          <w:tcPr>
            <w:tcW w:type="dxa" w:w="2436"/>
          </w:tcPr>
          <w:p>
            <w:r>
              <w:t>Intero</w:t>
            </w:r>
          </w:p>
        </w:tc>
        <w:tc>
          <w:tcPr>
            <w:tcW w:type="dxa" w:w="2436"/>
          </w:tcPr>
          <w:p>
            <w:r>
              <w:t>Contatori, priorità numeriche</w:t>
            </w:r>
          </w:p>
        </w:tc>
        <w:tc>
          <w:tcPr>
            <w:tcW w:type="dxa" w:w="2436"/>
          </w:tcPr>
          <w:p>
            <w:r>
              <w:t>Sì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Decimale</w:t>
            </w:r>
          </w:p>
        </w:tc>
        <w:tc>
          <w:tcPr>
            <w:tcW w:type="dxa" w:w="2436"/>
          </w:tcPr>
          <w:p>
            <w:r>
              <w:t>Valori numerici con precisione</w:t>
            </w:r>
          </w:p>
        </w:tc>
        <w:tc>
          <w:tcPr>
            <w:tcW w:type="dxa" w:w="2436"/>
          </w:tcPr>
          <w:p>
            <w:r>
              <w:t>Sì</w:t>
            </w:r>
          </w:p>
        </w:tc>
        <w:tc>
          <w:tcPr>
            <w:tcW w:type="dxa" w:w="2436"/>
          </w:tcPr>
          <w:p>
            <w:r>
              <w:t>Precisione/scala configurabili.</w:t>
            </w:r>
          </w:p>
        </w:tc>
      </w:tr>
      <w:tr>
        <w:tc>
          <w:tcPr>
            <w:tcW w:type="dxa" w:w="2436"/>
          </w:tcPr>
          <w:p>
            <w:r>
              <w:t>Booleano</w:t>
            </w:r>
          </w:p>
        </w:tc>
        <w:tc>
          <w:tcPr>
            <w:tcW w:type="dxa" w:w="2436"/>
          </w:tcPr>
          <w:p>
            <w:r>
              <w:t>Sì/No</w:t>
            </w:r>
          </w:p>
        </w:tc>
        <w:tc>
          <w:tcPr>
            <w:tcW w:type="dxa" w:w="2436"/>
          </w:tcPr>
          <w:p>
            <w:r>
              <w:t>Sì</w:t>
            </w:r>
          </w:p>
        </w:tc>
        <w:tc>
          <w:tcPr>
            <w:tcW w:type="dxa" w:w="2436"/>
          </w:tcPr>
          <w:p>
            <w:r>
              <w:t>UI preferita: toggle/segmented.</w:t>
            </w:r>
          </w:p>
        </w:tc>
      </w:tr>
      <w:tr>
        <w:tc>
          <w:tcPr>
            <w:tcW w:type="dxa" w:w="2436"/>
          </w:tcPr>
          <w:p>
            <w:r>
              <w:t>Data</w:t>
            </w:r>
          </w:p>
        </w:tc>
        <w:tc>
          <w:tcPr>
            <w:tcW w:type="dxa" w:w="2436"/>
          </w:tcPr>
          <w:p>
            <w:r>
              <w:t>Date business</w:t>
            </w:r>
          </w:p>
        </w:tc>
        <w:tc>
          <w:tcPr>
            <w:tcW w:type="dxa" w:w="2436"/>
          </w:tcPr>
          <w:p>
            <w:r>
              <w:t>Sì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Data/ora</w:t>
            </w:r>
          </w:p>
        </w:tc>
        <w:tc>
          <w:tcPr>
            <w:tcW w:type="dxa" w:w="2436"/>
          </w:tcPr>
          <w:p>
            <w:r>
              <w:t>Timestamp business</w:t>
            </w:r>
          </w:p>
        </w:tc>
        <w:tc>
          <w:tcPr>
            <w:tcW w:type="dxa" w:w="2436"/>
          </w:tcPr>
          <w:p>
            <w:r>
              <w:t>Sì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Lista singola</w:t>
            </w:r>
          </w:p>
        </w:tc>
        <w:tc>
          <w:tcPr>
            <w:tcW w:type="dxa" w:w="2436"/>
          </w:tcPr>
          <w:p>
            <w:r>
              <w:t>Valori controllati</w:t>
            </w:r>
          </w:p>
        </w:tc>
        <w:tc>
          <w:tcPr>
            <w:tcW w:type="dxa" w:w="2436"/>
          </w:tcPr>
          <w:p>
            <w:r>
              <w:t>Sì</w:t>
            </w:r>
          </w:p>
        </w:tc>
        <w:tc>
          <w:tcPr>
            <w:tcW w:type="dxa" w:w="2436"/>
          </w:tcPr>
          <w:p>
            <w:r>
              <w:t>Static list o lookup tenant.</w:t>
            </w:r>
          </w:p>
        </w:tc>
      </w:tr>
      <w:tr>
        <w:tc>
          <w:tcPr>
            <w:tcW w:type="dxa" w:w="2436"/>
          </w:tcPr>
          <w:p>
            <w:r>
              <w:t>Lista multipla</w:t>
            </w:r>
          </w:p>
        </w:tc>
        <w:tc>
          <w:tcPr>
            <w:tcW w:type="dxa" w:w="2436"/>
          </w:tcPr>
          <w:p>
            <w:r>
              <w:t>Tag/attributi multipli</w:t>
            </w:r>
          </w:p>
        </w:tc>
        <w:tc>
          <w:tcPr>
            <w:tcW w:type="dxa" w:w="2436"/>
          </w:tcPr>
          <w:p>
            <w:r>
              <w:t>Sì, con cautela</w:t>
            </w:r>
          </w:p>
        </w:tc>
        <w:tc>
          <w:tcPr>
            <w:tcW w:type="dxa" w:w="2436"/>
          </w:tcPr>
          <w:p>
            <w:r>
              <w:t>Non ovunque nei filtri V1.</w:t>
            </w:r>
          </w:p>
        </w:tc>
      </w:tr>
      <w:tr>
        <w:tc>
          <w:tcPr>
            <w:tcW w:type="dxa" w:w="2436"/>
          </w:tcPr>
          <w:p>
            <w:r>
              <w:t>Lookup oggetto</w:t>
            </w:r>
          </w:p>
        </w:tc>
        <w:tc>
          <w:tcPr>
            <w:tcW w:type="dxa" w:w="2436"/>
          </w:tcPr>
          <w:p>
            <w:r>
              <w:t>Riferimento ad altra entità</w:t>
            </w:r>
          </w:p>
        </w:tc>
        <w:tc>
          <w:tcPr>
            <w:tcW w:type="dxa" w:w="2436"/>
          </w:tcPr>
          <w:p>
            <w:r>
              <w:t>Sì, selettivo</w:t>
            </w:r>
          </w:p>
        </w:tc>
        <w:tc>
          <w:tcPr>
            <w:tcW w:type="dxa" w:w="2436"/>
          </w:tcPr>
          <w:p>
            <w:r>
              <w:t>Solo verso lookup o oggetti sicuri definiti.</w:t>
            </w:r>
          </w:p>
        </w:tc>
      </w:tr>
      <w:tr>
        <w:tc>
          <w:tcPr>
            <w:tcW w:type="dxa" w:w="2436"/>
          </w:tcPr>
          <w:p>
            <w:r>
              <w:t>Utente</w:t>
            </w:r>
          </w:p>
        </w:tc>
        <w:tc>
          <w:tcPr>
            <w:tcW w:type="dxa" w:w="2436"/>
          </w:tcPr>
          <w:p>
            <w:r>
              <w:t>Assegnazione/responsabile locale</w:t>
            </w:r>
          </w:p>
        </w:tc>
        <w:tc>
          <w:tcPr>
            <w:tcW w:type="dxa" w:w="2436"/>
          </w:tcPr>
          <w:p>
            <w:r>
              <w:t>Sì</w:t>
            </w:r>
          </w:p>
        </w:tc>
        <w:tc>
          <w:tcPr>
            <w:tcW w:type="dxa" w:w="2436"/>
          </w:tcPr>
          <w:p>
            <w:r>
              <w:t>Riferimento a utente tenant.</w:t>
            </w:r>
          </w:p>
        </w:tc>
      </w:tr>
      <w:tr>
        <w:tc>
          <w:tcPr>
            <w:tcW w:type="dxa" w:w="2436"/>
          </w:tcPr>
          <w:p>
            <w:r>
              <w:t>Numero con UM display</w:t>
            </w:r>
          </w:p>
        </w:tc>
        <w:tc>
          <w:tcPr>
            <w:tcW w:type="dxa" w:w="2436"/>
          </w:tcPr>
          <w:p>
            <w:r>
              <w:t>Valori numerici contestuali</w:t>
            </w:r>
          </w:p>
        </w:tc>
        <w:tc>
          <w:tcPr>
            <w:tcW w:type="dxa" w:w="2436"/>
          </w:tcPr>
          <w:p>
            <w:r>
              <w:t>No dedicato</w:t>
            </w:r>
          </w:p>
        </w:tc>
        <w:tc>
          <w:tcPr>
            <w:tcW w:type="dxa" w:w="2436"/>
          </w:tcPr>
          <w:p>
            <w:r>
              <w:t>Gestire come decimale + label.</w:t>
            </w:r>
          </w:p>
        </w:tc>
      </w:tr>
      <w:tr>
        <w:tc>
          <w:tcPr>
            <w:tcW w:type="dxa" w:w="2436"/>
          </w:tcPr>
          <w:p>
            <w:r>
              <w:t>File/immagine</w:t>
            </w:r>
          </w:p>
        </w:tc>
        <w:tc>
          <w:tcPr>
            <w:tcW w:type="dxa" w:w="2436"/>
          </w:tcPr>
          <w:p>
            <w:r>
              <w:t>Allegato custom</w:t>
            </w:r>
          </w:p>
        </w:tc>
        <w:tc>
          <w:tcPr>
            <w:tcW w:type="dxa" w:w="2436"/>
          </w:tcPr>
          <w:p>
            <w:r>
              <w:t>Fuori V1</w:t>
            </w:r>
          </w:p>
        </w:tc>
        <w:tc>
          <w:tcPr>
            <w:tcW w:type="dxa" w:w="2436"/>
          </w:tcPr>
          <w:p>
            <w:r>
              <w:t>Usare allegati standard.</w:t>
            </w:r>
          </w:p>
        </w:tc>
      </w:tr>
      <w:tr>
        <w:tc>
          <w:tcPr>
            <w:tcW w:type="dxa" w:w="2436"/>
          </w:tcPr>
          <w:p>
            <w:r>
              <w:t>JSON libero</w:t>
            </w:r>
          </w:p>
        </w:tc>
        <w:tc>
          <w:tcPr>
            <w:tcW w:type="dxa" w:w="2436"/>
          </w:tcPr>
          <w:p>
            <w:r>
              <w:t>Dati arbitrari</w:t>
            </w:r>
          </w:p>
        </w:tc>
        <w:tc>
          <w:tcPr>
            <w:tcW w:type="dxa" w:w="2436"/>
          </w:tcPr>
          <w:p>
            <w:r>
              <w:t>Fuori V1</w:t>
            </w:r>
          </w:p>
        </w:tc>
        <w:tc>
          <w:tcPr>
            <w:tcW w:type="dxa" w:w="2436"/>
          </w:tcPr>
          <w:p>
            <w:r>
              <w:t>Contrario alla baseline DB.</w:t>
            </w:r>
          </w:p>
        </w:tc>
      </w:tr>
    </w:tbl>
    <w:p>
      <w:pPr>
        <w:pStyle w:val="Heading2"/>
      </w:pPr>
      <w:r>
        <w:t>9.1 Tipi speciali con supporto controllato</w:t>
      </w:r>
    </w:p>
    <w:p>
      <w:pPr>
        <w:spacing w:after="20"/>
        <w:ind w:left="227"/>
      </w:pPr>
      <w:r>
        <w:t>• Formula/calcolato: supportato come categoria a parte e non come tipo base libero.</w:t>
      </w:r>
    </w:p>
    <w:p>
      <w:pPr>
        <w:spacing w:after="20"/>
        <w:ind w:left="227"/>
      </w:pPr>
      <w:r>
        <w:t>• Lookup ERP: non come tipo autonomo in V1; trattarlo come lookup/campo collegato ERP governato dall’area integrazioni.</w:t>
      </w:r>
    </w:p>
    <w:p>
      <w:pPr>
        <w:spacing w:after="20"/>
        <w:ind w:left="227"/>
      </w:pPr>
      <w:r>
        <w:t>• Colore, firma, geolocalizzazione, rich text: fuori V1.</w:t>
      </w:r>
    </w:p>
    <w:p>
      <w:pPr>
        <w:pStyle w:val="Heading1"/>
      </w:pPr>
      <w:r>
        <w:t>10. Metadati minimi della definizione campo</w:t>
      </w:r>
    </w:p>
    <w:p>
      <w:pPr>
        <w:spacing w:after="20"/>
        <w:ind w:left="227"/>
      </w:pPr>
      <w:r>
        <w:t>• Nome utente.</w:t>
      </w:r>
    </w:p>
    <w:p>
      <w:pPr>
        <w:spacing w:after="20"/>
        <w:ind w:left="227"/>
      </w:pPr>
      <w:r>
        <w:t>• Codice tecnico univoco per tenant e oggetto.</w:t>
      </w:r>
    </w:p>
    <w:p>
      <w:pPr>
        <w:spacing w:after="20"/>
        <w:ind w:left="227"/>
      </w:pPr>
      <w:r>
        <w:t>• Oggetto target.</w:t>
      </w:r>
    </w:p>
    <w:p>
      <w:pPr>
        <w:spacing w:after="20"/>
        <w:ind w:left="227"/>
      </w:pPr>
      <w:r>
        <w:t>• Scope: testata o riga.</w:t>
      </w:r>
    </w:p>
    <w:p>
      <w:pPr>
        <w:spacing w:after="20"/>
        <w:ind w:left="227"/>
      </w:pPr>
      <w:r>
        <w:t>• Tipo campo.</w:t>
      </w:r>
    </w:p>
    <w:p>
      <w:pPr>
        <w:spacing w:after="20"/>
        <w:ind w:left="227"/>
      </w:pPr>
      <w:r>
        <w:t>• Stato: draft, active, deprecated.</w:t>
      </w:r>
    </w:p>
    <w:p>
      <w:pPr>
        <w:spacing w:after="20"/>
        <w:ind w:left="227"/>
      </w:pPr>
      <w:r>
        <w:t>• Help text / descrizione.</w:t>
      </w:r>
    </w:p>
    <w:p>
      <w:pPr>
        <w:spacing w:after="20"/>
        <w:ind w:left="227"/>
      </w:pPr>
      <w:r>
        <w:t>• Gruppo / sezione UI, se applicabile.</w:t>
      </w:r>
    </w:p>
    <w:p>
      <w:pPr>
        <w:spacing w:after="20"/>
        <w:ind w:left="227"/>
      </w:pPr>
      <w:r>
        <w:t>• Flag di uso: visibile in dettaglio, visibile in griglia, usabile in filtro, usabile in report, usabile in export, usabile in etichette.</w:t>
      </w:r>
    </w:p>
    <w:p>
      <w:pPr>
        <w:spacing w:after="20"/>
        <w:ind w:left="227"/>
      </w:pPr>
      <w:r>
        <w:t>• Flag di governance: modificabile da tenant, gestito da super-admin, integrato ERP, audit critico.</w:t>
      </w:r>
    </w:p>
    <w:p>
      <w:pPr>
        <w:spacing w:after="20"/>
        <w:ind w:left="227"/>
      </w:pPr>
      <w:r>
        <w:t>• Regole: obbligatorio, editabile, default, formula, propagazione, mapping ERP.</w:t>
      </w:r>
    </w:p>
    <w:p>
      <w:pPr>
        <w:pStyle w:val="Heading1"/>
      </w:pPr>
      <w:r>
        <w:t>11. Regole di visibilità, editabilità, obbligatorietà e default</w:t>
      </w:r>
    </w:p>
    <w:p>
      <w:pPr>
        <w:pStyle w:val="Heading2"/>
      </w:pPr>
      <w:r>
        <w:t>11.1 Visibilità</w:t>
      </w:r>
    </w:p>
    <w:p>
      <w:pPr>
        <w:spacing w:after="20"/>
        <w:ind w:left="227"/>
      </w:pPr>
      <w:r>
        <w:t>• La visibilità deve poter dipendere almeno da ruolo, stato dell’oggetto, contesto pagina e abilitazione del modulo.</w:t>
      </w:r>
    </w:p>
    <w:p>
      <w:pPr>
        <w:spacing w:after="20"/>
        <w:ind w:left="227"/>
      </w:pPr>
      <w:r>
        <w:t>• In V1 evitare motori di regole booleane troppo complessi; usare condizioni guidate predefinite.</w:t>
      </w:r>
    </w:p>
    <w:p>
      <w:pPr>
        <w:spacing w:after="20"/>
        <w:ind w:left="227"/>
      </w:pPr>
      <w:r>
        <w:t>• La visibilità in schermata è distinta dalla visibilità in griglia, filtri, report ed etichette.</w:t>
      </w:r>
    </w:p>
    <w:p>
      <w:pPr>
        <w:pStyle w:val="Heading2"/>
      </w:pPr>
      <w:r>
        <w:t>11.2 Editabilità</w:t>
      </w:r>
    </w:p>
    <w:p>
      <w:pPr>
        <w:spacing w:after="20"/>
        <w:ind w:left="227"/>
      </w:pPr>
      <w:r>
        <w:t>• Un campo può essere visibile ma non editabile.</w:t>
      </w:r>
    </w:p>
    <w:p>
      <w:pPr>
        <w:spacing w:after="20"/>
        <w:ind w:left="227"/>
      </w:pPr>
      <w:r>
        <w:t>• L’editabilità deve poter dipendere da ruolo, stato oggetto, provenienza ERP e canale operativo (ufficio vs MES).</w:t>
      </w:r>
    </w:p>
    <w:p>
      <w:pPr>
        <w:spacing w:after="20"/>
        <w:ind w:left="227"/>
      </w:pPr>
      <w:r>
        <w:t>• Se il campo è ERP-read-only, la UI deve visualizzare chiaramente l’origine esterna.</w:t>
      </w:r>
    </w:p>
    <w:p>
      <w:pPr>
        <w:pStyle w:val="Heading2"/>
      </w:pPr>
      <w:r>
        <w:t>11.3 Obbligatorietà</w:t>
      </w:r>
    </w:p>
    <w:p>
      <w:pPr>
        <w:spacing w:after="20"/>
        <w:ind w:left="227"/>
      </w:pPr>
      <w:r>
        <w:t>• L’obbligatorietà deve poter essere definita per creazione e/o modifica.</w:t>
      </w:r>
    </w:p>
    <w:p>
      <w:pPr>
        <w:spacing w:after="20"/>
        <w:ind w:left="227"/>
      </w:pPr>
      <w:r>
        <w:t>• Per gli oggetti con righe importate da ERP o derivazioni automatiche, l’obbligatorietà su riga va usata solo se il flusso garantisce un punto di inserimento controllato.</w:t>
      </w:r>
    </w:p>
    <w:p>
      <w:pPr>
        <w:spacing w:after="20"/>
        <w:ind w:left="227"/>
      </w:pPr>
      <w:r>
        <w:t>• Un campo calcolato non può essere obbligatorio in input manuale.</w:t>
      </w:r>
    </w:p>
    <w:p>
      <w:pPr>
        <w:pStyle w:val="Heading2"/>
      </w:pPr>
      <w:r>
        <w:t>11.4 Default</w:t>
      </w:r>
    </w:p>
    <w:p>
      <w:pPr>
        <w:spacing w:after="20"/>
        <w:ind w:left="227"/>
      </w:pPr>
      <w:r>
        <w:t>• Default statico.</w:t>
      </w:r>
    </w:p>
    <w:p>
      <w:pPr>
        <w:spacing w:after="20"/>
        <w:ind w:left="227"/>
      </w:pPr>
      <w:r>
        <w:t>• Default da lista/lookup.</w:t>
      </w:r>
    </w:p>
    <w:p>
      <w:pPr>
        <w:spacing w:after="20"/>
        <w:ind w:left="227"/>
      </w:pPr>
      <w:r>
        <w:t>• Default copiato da oggetto origine o testata.</w:t>
      </w:r>
    </w:p>
    <w:p>
      <w:pPr>
        <w:spacing w:after="20"/>
        <w:ind w:left="227"/>
      </w:pPr>
      <w:r>
        <w:t>• Default calcolato semplice (es. oggi, utente corrente, tenant corrente).</w:t>
      </w:r>
    </w:p>
    <w:p>
      <w:pPr>
        <w:spacing w:after="20"/>
        <w:ind w:left="227"/>
      </w:pPr>
      <w:r>
        <w:t>• No script custom in V1.</w:t>
      </w:r>
    </w:p>
    <w:p>
      <w:pPr>
        <w:pStyle w:val="Heading1"/>
      </w:pPr>
      <w:r>
        <w:t>12. Regole di propagazione tra oggetti/processi</w:t>
      </w:r>
    </w:p>
    <w:p>
      <w:pPr/>
      <w:r>
        <w:t>La propagazione è uno dei punti a maggior valore ma anche a maggior rischio. In V1 va gestita come modello guidato e selettivo.</w:t>
      </w:r>
    </w:p>
    <w:p>
      <w:pPr>
        <w:pStyle w:val="Heading2"/>
      </w:pPr>
      <w:r>
        <w:t>12.1 Principi</w:t>
      </w:r>
    </w:p>
    <w:p>
      <w:pPr>
        <w:spacing w:after="20"/>
        <w:ind w:left="227"/>
      </w:pPr>
      <w:r>
        <w:t>• La propagazione non è automatica per ogni campo: va dichiarata per campo.</w:t>
      </w:r>
    </w:p>
    <w:p>
      <w:pPr>
        <w:spacing w:after="20"/>
        <w:ind w:left="227"/>
      </w:pPr>
      <w:r>
        <w:t>• La propagazione deve avvenire solo tra oggetti logicamente collegati e già approvati nel dominio.</w:t>
      </w:r>
    </w:p>
    <w:p>
      <w:pPr>
        <w:spacing w:after="20"/>
        <w:ind w:left="227"/>
      </w:pPr>
      <w:r>
        <w:t>• Va distinta la propagazione iniziale dalla sincronizzazione continua.</w:t>
      </w:r>
    </w:p>
    <w:p>
      <w:pPr>
        <w:spacing w:after="20"/>
        <w:ind w:left="227"/>
      </w:pPr>
      <w:r>
        <w:t>• La sincronizzazione continua bidirezionale tra oggetti interni è fuori V1 salvo casi molto circoscritti.</w:t>
      </w:r>
    </w:p>
    <w:p>
      <w:pPr>
        <w:pStyle w:val="Heading2"/>
      </w:pPr>
      <w:r>
        <w:t>12.2 Propagazioni consigliate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r>
              <w:t>Origine</w:t>
            </w:r>
          </w:p>
        </w:tc>
        <w:tc>
          <w:tcPr>
            <w:tcW w:type="dxa" w:w="2436"/>
            <w:shd w:fill="D9EAF7"/>
          </w:tcPr>
          <w:p>
            <w:r>
              <w:t>Destinazione</w:t>
            </w:r>
          </w:p>
        </w:tc>
        <w:tc>
          <w:tcPr>
            <w:tcW w:type="dxa" w:w="2436"/>
            <w:shd w:fill="D9EAF7"/>
          </w:tcPr>
          <w:p>
            <w:r>
              <w:t>Modalità V1</w:t>
            </w:r>
          </w:p>
        </w:tc>
        <w:tc>
          <w:tcPr>
            <w:tcW w:type="dxa" w:w="2436"/>
            <w:shd w:fill="D9EAF7"/>
          </w:tcPr>
          <w:p>
            <w:r>
              <w:t>Note</w:t>
            </w:r>
          </w:p>
        </w:tc>
      </w:tr>
      <w:tr>
        <w:tc>
          <w:tcPr>
            <w:tcW w:type="dxa" w:w="2436"/>
          </w:tcPr>
          <w:p>
            <w:r>
              <w:t>Commessa</w:t>
            </w:r>
          </w:p>
        </w:tc>
        <w:tc>
          <w:tcPr>
            <w:tcW w:type="dxa" w:w="2436"/>
          </w:tcPr>
          <w:p>
            <w:r>
              <w:t>ODP</w:t>
            </w:r>
          </w:p>
        </w:tc>
        <w:tc>
          <w:tcPr>
            <w:tcW w:type="dxa" w:w="2436"/>
          </w:tcPr>
          <w:p>
            <w:r>
              <w:t>Copia iniziale opzionale</w:t>
            </w:r>
          </w:p>
        </w:tc>
        <w:tc>
          <w:tcPr>
            <w:tcW w:type="dxa" w:w="2436"/>
          </w:tcPr>
          <w:p>
            <w:r>
              <w:t>Solo campi marcati come propagabili.</w:t>
            </w:r>
          </w:p>
        </w:tc>
      </w:tr>
      <w:tr>
        <w:tc>
          <w:tcPr>
            <w:tcW w:type="dxa" w:w="2436"/>
          </w:tcPr>
          <w:p>
            <w:r>
              <w:t>ODP</w:t>
            </w:r>
          </w:p>
        </w:tc>
        <w:tc>
          <w:tcPr>
            <w:tcW w:type="dxa" w:w="2436"/>
          </w:tcPr>
          <w:p>
            <w:r>
              <w:t>Fasi ODP</w:t>
            </w:r>
          </w:p>
        </w:tc>
        <w:tc>
          <w:tcPr>
            <w:tcW w:type="dxa" w:w="2436"/>
          </w:tcPr>
          <w:p>
            <w:r>
              <w:t>Copia iniziale opzionale</w:t>
            </w:r>
          </w:p>
        </w:tc>
        <w:tc>
          <w:tcPr>
            <w:tcW w:type="dxa" w:w="2436"/>
          </w:tcPr>
          <w:p>
            <w:r>
              <w:t>Più utile per contesto operativo.</w:t>
            </w:r>
          </w:p>
        </w:tc>
      </w:tr>
      <w:tr>
        <w:tc>
          <w:tcPr>
            <w:tcW w:type="dxa" w:w="2436"/>
          </w:tcPr>
          <w:p>
            <w:r>
              <w:t>ODP</w:t>
            </w:r>
          </w:p>
        </w:tc>
        <w:tc>
          <w:tcPr>
            <w:tcW w:type="dxa" w:w="2436"/>
          </w:tcPr>
          <w:p>
            <w:r>
              <w:t>Materiali effettivi ODP</w:t>
            </w:r>
          </w:p>
        </w:tc>
        <w:tc>
          <w:tcPr>
            <w:tcW w:type="dxa" w:w="2436"/>
          </w:tcPr>
          <w:p>
            <w:r>
              <w:t>Solo su scope compatibili</w:t>
            </w:r>
          </w:p>
        </w:tc>
        <w:tc>
          <w:tcPr>
            <w:tcW w:type="dxa" w:w="2436"/>
          </w:tcPr>
          <w:p>
            <w:r>
              <w:t>Non per ogni riga indiscriminatamente.</w:t>
            </w:r>
          </w:p>
        </w:tc>
      </w:tr>
      <w:tr>
        <w:tc>
          <w:tcPr>
            <w:tcW w:type="dxa" w:w="2436"/>
          </w:tcPr>
          <w:p>
            <w:r>
              <w:t>Fase esterna</w:t>
            </w:r>
          </w:p>
        </w:tc>
        <w:tc>
          <w:tcPr>
            <w:tcW w:type="dxa" w:w="2436"/>
          </w:tcPr>
          <w:p>
            <w:r>
              <w:t>Invio conto lavoro</w:t>
            </w:r>
          </w:p>
        </w:tc>
        <w:tc>
          <w:tcPr>
            <w:tcW w:type="dxa" w:w="2436"/>
          </w:tcPr>
          <w:p>
            <w:r>
              <w:t>Copia iniziale</w:t>
            </w:r>
          </w:p>
        </w:tc>
        <w:tc>
          <w:tcPr>
            <w:tcW w:type="dxa" w:w="2436"/>
          </w:tcPr>
          <w:p>
            <w:r>
              <w:t>Molto utile per CTL.</w:t>
            </w:r>
          </w:p>
        </w:tc>
      </w:tr>
      <w:tr>
        <w:tc>
          <w:tcPr>
            <w:tcW w:type="dxa" w:w="2436"/>
          </w:tcPr>
          <w:p>
            <w:r>
              <w:t>Fase esterna</w:t>
            </w:r>
          </w:p>
        </w:tc>
        <w:tc>
          <w:tcPr>
            <w:tcW w:type="dxa" w:w="2436"/>
          </w:tcPr>
          <w:p>
            <w:r>
              <w:t>Rientro conto lavoro</w:t>
            </w:r>
          </w:p>
        </w:tc>
        <w:tc>
          <w:tcPr>
            <w:tcW w:type="dxa" w:w="2436"/>
          </w:tcPr>
          <w:p>
            <w:r>
              <w:t>Copia iniziale</w:t>
            </w:r>
          </w:p>
        </w:tc>
        <w:tc>
          <w:tcPr>
            <w:tcW w:type="dxa" w:w="2436"/>
          </w:tcPr>
          <w:p>
            <w:r>
              <w:t>Specie per campi di classificazione.</w:t>
            </w:r>
          </w:p>
        </w:tc>
      </w:tr>
      <w:tr>
        <w:tc>
          <w:tcPr>
            <w:tcW w:type="dxa" w:w="2436"/>
          </w:tcPr>
          <w:p>
            <w:r>
              <w:t>NC</w:t>
            </w:r>
          </w:p>
        </w:tc>
        <w:tc>
          <w:tcPr>
            <w:tcW w:type="dxa" w:w="2436"/>
          </w:tcPr>
          <w:p>
            <w:r>
              <w:t>Lotto/unità tracciata</w:t>
            </w:r>
          </w:p>
        </w:tc>
        <w:tc>
          <w:tcPr>
            <w:tcW w:type="dxa" w:w="2436"/>
          </w:tcPr>
          <w:p>
            <w:r>
              <w:t>Copia selettiva</w:t>
            </w:r>
          </w:p>
        </w:tc>
        <w:tc>
          <w:tcPr>
            <w:tcW w:type="dxa" w:w="2436"/>
          </w:tcPr>
          <w:p>
            <w:r>
              <w:t>Solo attributi di qualità/trattamento coerenti.</w:t>
            </w:r>
          </w:p>
        </w:tc>
      </w:tr>
      <w:tr>
        <w:tc>
          <w:tcPr>
            <w:tcW w:type="dxa" w:w="2436"/>
          </w:tcPr>
          <w:p>
            <w:r>
              <w:t>Articolo/DIBA/Ciclo/Modello</w:t>
            </w:r>
          </w:p>
        </w:tc>
        <w:tc>
          <w:tcPr>
            <w:tcW w:type="dxa" w:w="2436"/>
          </w:tcPr>
          <w:p>
            <w:r>
              <w:t>ODP</w:t>
            </w:r>
          </w:p>
        </w:tc>
        <w:tc>
          <w:tcPr>
            <w:tcW w:type="dxa" w:w="2436"/>
          </w:tcPr>
          <w:p>
            <w:r>
              <w:t>Fuori scope come custom generic propagation</w:t>
            </w:r>
          </w:p>
        </w:tc>
        <w:tc>
          <w:tcPr>
            <w:tcW w:type="dxa" w:w="2436"/>
          </w:tcPr>
          <w:p>
            <w:r>
              <w:t>Usare configurazione strutturata standard.</w:t>
            </w:r>
          </w:p>
        </w:tc>
      </w:tr>
    </w:tbl>
    <w:p>
      <w:pPr>
        <w:pStyle w:val="Heading2"/>
      </w:pPr>
      <w:r>
        <w:t>12.3 Propagazione riga</w:t>
      </w:r>
    </w:p>
    <w:p>
      <w:pPr>
        <w:spacing w:after="20"/>
        <w:ind w:left="227"/>
      </w:pPr>
      <w:r>
        <w:t>• Supportare in V1 solo i casi chiari: riga invio → riga rientro, riga materiale effettivo derivata, riga missione materiale derivata.</w:t>
      </w:r>
    </w:p>
    <w:p>
      <w:pPr>
        <w:spacing w:after="20"/>
        <w:ind w:left="227"/>
      </w:pPr>
      <w:r>
        <w:t>• Evitare propagazioni multi-hop o trasformative complesse.</w:t>
      </w:r>
    </w:p>
    <w:p>
      <w:pPr>
        <w:spacing w:after="20"/>
        <w:ind w:left="227"/>
      </w:pPr>
      <w:r>
        <w:t>• Ogni propagazione deve poter essere tracciata come origine del valore.</w:t>
      </w:r>
    </w:p>
    <w:p>
      <w:pPr>
        <w:pStyle w:val="Heading1"/>
      </w:pPr>
      <w:r>
        <w:t>13. Campi calcolati e wizard guidato</w:t>
      </w:r>
    </w:p>
    <w:p>
      <w:pPr>
        <w:pStyle w:val="Heading2"/>
      </w:pPr>
      <w:r>
        <w:t>13.1 Obiettivo</w:t>
      </w:r>
    </w:p>
    <w:p>
      <w:pPr/>
      <w:r>
        <w:t>Consentire formule utili al business senza introdurre un motore di scripting generico difficile da governare.</w:t>
      </w:r>
    </w:p>
    <w:p>
      <w:pPr>
        <w:pStyle w:val="Heading2"/>
      </w:pPr>
      <w:r>
        <w:t>13.2 Regole V1</w:t>
      </w:r>
    </w:p>
    <w:p>
      <w:pPr>
        <w:spacing w:after="20"/>
        <w:ind w:left="227"/>
      </w:pPr>
      <w:r>
        <w:t>• Campi calcolati consentiti solo su testata nella V1, con eccezioni mirate per righe molto controllate.</w:t>
      </w:r>
    </w:p>
    <w:p>
      <w:pPr>
        <w:spacing w:after="20"/>
        <w:ind w:left="227"/>
      </w:pPr>
      <w:r>
        <w:t>• Formula costruita con wizard guidato, non con codice libero.</w:t>
      </w:r>
    </w:p>
    <w:p>
      <w:pPr>
        <w:spacing w:after="20"/>
        <w:ind w:left="227"/>
      </w:pPr>
      <w:r>
        <w:t>• Funzioni iniziali: concatena, somma, differenza, moltiplica, dividi, IF semplice, coalesce/default, data odierna, user current, lookup label.</w:t>
      </w:r>
    </w:p>
    <w:p>
      <w:pPr>
        <w:spacing w:after="20"/>
        <w:ind w:left="227"/>
      </w:pPr>
      <w:r>
        <w:t>• Operandi consentiti: campi standard dell’oggetto, campi custom dello stesso oggetto, costanti, pochi riferimenti parent già previsti.</w:t>
      </w:r>
    </w:p>
    <w:p>
      <w:pPr>
        <w:spacing w:after="20"/>
        <w:ind w:left="227"/>
      </w:pPr>
      <w:r>
        <w:t>• Nessuna join arbitraria verso oggetti remoti in V1.</w:t>
      </w:r>
    </w:p>
    <w:p>
      <w:pPr>
        <w:pStyle w:val="Heading2"/>
      </w:pPr>
      <w:r>
        <w:t>13.3 Wizard guidato proposto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t>Step</w:t>
            </w:r>
          </w:p>
        </w:tc>
        <w:tc>
          <w:tcPr>
            <w:tcW w:type="dxa" w:w="4873"/>
            <w:shd w:fill="D9EAF7"/>
          </w:tcPr>
          <w:p>
            <w:r>
              <w:t>Comportamento</w:t>
            </w:r>
          </w:p>
        </w:tc>
      </w:tr>
      <w:tr>
        <w:tc>
          <w:tcPr>
            <w:tcW w:type="dxa" w:w="4873"/>
          </w:tcPr>
          <w:p>
            <w:r>
              <w:t>1. Scelta oggetto e campo target</w:t>
            </w:r>
          </w:p>
        </w:tc>
        <w:tc>
          <w:tcPr>
            <w:tcW w:type="dxa" w:w="4873"/>
          </w:tcPr>
          <w:p>
            <w:r>
              <w:t>L’utente sceglie l’oggetto supportato e definisce un nuovo campo di tipo calcolato.</w:t>
            </w:r>
          </w:p>
        </w:tc>
      </w:tr>
      <w:tr>
        <w:tc>
          <w:tcPr>
            <w:tcW w:type="dxa" w:w="4873"/>
          </w:tcPr>
          <w:p>
            <w:r>
              <w:t>2. Selezione risultato atteso</w:t>
            </w:r>
          </w:p>
        </w:tc>
        <w:tc>
          <w:tcPr>
            <w:tcW w:type="dxa" w:w="4873"/>
          </w:tcPr>
          <w:p>
            <w:r>
              <w:t>Testo, numero, booleano, data/ora, lista derivata dove sostenibile.</w:t>
            </w:r>
          </w:p>
        </w:tc>
      </w:tr>
      <w:tr>
        <w:tc>
          <w:tcPr>
            <w:tcW w:type="dxa" w:w="4873"/>
          </w:tcPr>
          <w:p>
            <w:r>
              <w:t>3. Sorgenti disponibili</w:t>
            </w:r>
          </w:p>
        </w:tc>
        <w:tc>
          <w:tcPr>
            <w:tcW w:type="dxa" w:w="4873"/>
          </w:tcPr>
          <w:p>
            <w:r>
              <w:t>Il wizard mostra solo i campi compatibili col contesto.</w:t>
            </w:r>
          </w:p>
        </w:tc>
      </w:tr>
      <w:tr>
        <w:tc>
          <w:tcPr>
            <w:tcW w:type="dxa" w:w="4873"/>
          </w:tcPr>
          <w:p>
            <w:r>
              <w:t>4. Regola guidata</w:t>
            </w:r>
          </w:p>
        </w:tc>
        <w:tc>
          <w:tcPr>
            <w:tcW w:type="dxa" w:w="4873"/>
          </w:tcPr>
          <w:p>
            <w:r>
              <w:t>Costruzione tramite blocchi o builder visuale limitato.</w:t>
            </w:r>
          </w:p>
        </w:tc>
      </w:tr>
      <w:tr>
        <w:tc>
          <w:tcPr>
            <w:tcW w:type="dxa" w:w="4873"/>
          </w:tcPr>
          <w:p>
            <w:r>
              <w:t>5. Validazione</w:t>
            </w:r>
          </w:p>
        </w:tc>
        <w:tc>
          <w:tcPr>
            <w:tcW w:type="dxa" w:w="4873"/>
          </w:tcPr>
          <w:p>
            <w:r>
              <w:t>Controllo tipologico, dipendenze circolari, campi mancanti.</w:t>
            </w:r>
          </w:p>
        </w:tc>
      </w:tr>
      <w:tr>
        <w:tc>
          <w:tcPr>
            <w:tcW w:type="dxa" w:w="4873"/>
          </w:tcPr>
          <w:p>
            <w:r>
              <w:t>6. Anteprima</w:t>
            </w:r>
          </w:p>
        </w:tc>
        <w:tc>
          <w:tcPr>
            <w:tcW w:type="dxa" w:w="4873"/>
          </w:tcPr>
          <w:p>
            <w:r>
              <w:t>Simulazione del risultato su record di esempio.</w:t>
            </w:r>
          </w:p>
        </w:tc>
      </w:tr>
      <w:tr>
        <w:tc>
          <w:tcPr>
            <w:tcW w:type="dxa" w:w="4873"/>
          </w:tcPr>
          <w:p>
            <w:r>
              <w:t>7. Pubblicazione</w:t>
            </w:r>
          </w:p>
        </w:tc>
        <w:tc>
          <w:tcPr>
            <w:tcW w:type="dxa" w:w="4873"/>
          </w:tcPr>
          <w:p>
            <w:r>
              <w:t>Attivazione con audit trail.</w:t>
            </w:r>
          </w:p>
        </w:tc>
      </w:tr>
    </w:tbl>
    <w:p>
      <w:pPr>
        <w:pStyle w:val="Heading2"/>
      </w:pPr>
      <w:r>
        <w:t>13.4 Limiti V1 campi calcolati</w:t>
      </w:r>
    </w:p>
    <w:p>
      <w:pPr>
        <w:spacing w:after="20"/>
        <w:ind w:left="227"/>
      </w:pPr>
      <w:r>
        <w:t>• No script, regex avanzate, cicli, funzioni custom, query cross-object arbitrarie.</w:t>
      </w:r>
    </w:p>
    <w:p>
      <w:pPr>
        <w:spacing w:after="20"/>
        <w:ind w:left="227"/>
      </w:pPr>
      <w:r>
        <w:t>• No dipendenze circolari tra custom fields.</w:t>
      </w:r>
    </w:p>
    <w:p>
      <w:pPr>
        <w:spacing w:after="20"/>
        <w:ind w:left="227"/>
      </w:pPr>
      <w:r>
        <w:t>• No calcoli che richiedono aggregazioni multi-record pesanti in tempo reale su liste grandi.</w:t>
      </w:r>
    </w:p>
    <w:p>
      <w:pPr>
        <w:spacing w:after="20"/>
        <w:ind w:left="227"/>
      </w:pPr>
      <w:r>
        <w:t>• No update retroattivo massivo senza job controllato.</w:t>
      </w:r>
    </w:p>
    <w:p>
      <w:pPr>
        <w:pStyle w:val="Heading1"/>
      </w:pPr>
      <w:r>
        <w:t>14. Collegamento ERP</w:t>
      </w:r>
    </w:p>
    <w:p>
      <w:pPr>
        <w:pStyle w:val="Heading2"/>
      </w:pPr>
      <w:r>
        <w:t>14.1 Principio</w:t>
      </w:r>
    </w:p>
    <w:p>
      <w:pPr/>
      <w:r>
        <w:t>Il collegamento ERP deve essere trattato come capacità opzionale e governata, coerente con il fatto che i dettagli dei flussi verranno analizzati da Ole. Qui si definiscono solo gli scenari funzionali ammessi.</w:t>
      </w:r>
    </w:p>
    <w:p>
      <w:pPr>
        <w:pStyle w:val="Heading2"/>
      </w:pPr>
      <w:r>
        <w:t>14.2 Scenari supportati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r>
              <w:t>Scenario</w:t>
            </w:r>
          </w:p>
        </w:tc>
        <w:tc>
          <w:tcPr>
            <w:tcW w:type="dxa" w:w="2436"/>
            <w:shd w:fill="D9EAF7"/>
          </w:tcPr>
          <w:p>
            <w:r>
              <w:t>Descrizione</w:t>
            </w:r>
          </w:p>
        </w:tc>
        <w:tc>
          <w:tcPr>
            <w:tcW w:type="dxa" w:w="2436"/>
            <w:shd w:fill="D9EAF7"/>
          </w:tcPr>
          <w:p>
            <w:r>
              <w:t>V1</w:t>
            </w:r>
          </w:p>
        </w:tc>
        <w:tc>
          <w:tcPr>
            <w:tcW w:type="dxa" w:w="2436"/>
            <w:shd w:fill="D9EAF7"/>
          </w:tcPr>
          <w:p>
            <w:r>
              <w:t>Note</w:t>
            </w:r>
          </w:p>
        </w:tc>
      </w:tr>
      <w:tr>
        <w:tc>
          <w:tcPr>
            <w:tcW w:type="dxa" w:w="2436"/>
          </w:tcPr>
          <w:p>
            <w:r>
              <w:t>Sola lettura</w:t>
            </w:r>
          </w:p>
        </w:tc>
        <w:tc>
          <w:tcPr>
            <w:tcW w:type="dxa" w:w="2436"/>
          </w:tcPr>
          <w:p>
            <w:r>
              <w:t>Campo letto da ERP e mostrato in app.</w:t>
            </w:r>
          </w:p>
        </w:tc>
        <w:tc>
          <w:tcPr>
            <w:tcW w:type="dxa" w:w="2436"/>
          </w:tcPr>
          <w:p>
            <w:r>
              <w:t>Sì</w:t>
            </w:r>
          </w:p>
        </w:tc>
        <w:tc>
          <w:tcPr>
            <w:tcW w:type="dxa" w:w="2436"/>
          </w:tcPr>
          <w:p>
            <w:r>
              <w:t>Scenario più sicuro e prioritario.</w:t>
            </w:r>
          </w:p>
        </w:tc>
      </w:tr>
      <w:tr>
        <w:tc>
          <w:tcPr>
            <w:tcW w:type="dxa" w:w="2436"/>
          </w:tcPr>
          <w:p>
            <w:r>
              <w:t>Scrittura app → ERP</w:t>
            </w:r>
          </w:p>
        </w:tc>
        <w:tc>
          <w:tcPr>
            <w:tcW w:type="dxa" w:w="2436"/>
          </w:tcPr>
          <w:p>
            <w:r>
              <w:t>Campo valorizzato in app e inviato a ERP.</w:t>
            </w:r>
          </w:p>
        </w:tc>
        <w:tc>
          <w:tcPr>
            <w:tcW w:type="dxa" w:w="2436"/>
          </w:tcPr>
          <w:p>
            <w:r>
              <w:t>Sì, selettivo</w:t>
            </w:r>
          </w:p>
        </w:tc>
        <w:tc>
          <w:tcPr>
            <w:tcW w:type="dxa" w:w="2436"/>
          </w:tcPr>
          <w:p>
            <w:r>
              <w:t>Solo per oggetti e campi mappati chiaramente.</w:t>
            </w:r>
          </w:p>
        </w:tc>
      </w:tr>
      <w:tr>
        <w:tc>
          <w:tcPr>
            <w:tcW w:type="dxa" w:w="2436"/>
          </w:tcPr>
          <w:p>
            <w:r>
              <w:t>Bidirezionale</w:t>
            </w:r>
          </w:p>
        </w:tc>
        <w:tc>
          <w:tcPr>
            <w:tcW w:type="dxa" w:w="2436"/>
          </w:tcPr>
          <w:p>
            <w:r>
              <w:t>Aggiornabile sia da ERP sia da app.</w:t>
            </w:r>
          </w:p>
        </w:tc>
        <w:tc>
          <w:tcPr>
            <w:tcW w:type="dxa" w:w="2436"/>
          </w:tcPr>
          <w:p>
            <w:r>
              <w:t>Solo se realmente sostenibile</w:t>
            </w:r>
          </w:p>
        </w:tc>
        <w:tc>
          <w:tcPr>
            <w:tcW w:type="dxa" w:w="2436"/>
          </w:tcPr>
          <w:p>
            <w:r>
              <w:t>Da approvare caso per caso, con ownership chiara.</w:t>
            </w:r>
          </w:p>
        </w:tc>
      </w:tr>
      <w:tr>
        <w:tc>
          <w:tcPr>
            <w:tcW w:type="dxa" w:w="2436"/>
          </w:tcPr>
          <w:p>
            <w:r>
              <w:t>Lookup ERP live</w:t>
            </w:r>
          </w:p>
        </w:tc>
        <w:tc>
          <w:tcPr>
            <w:tcW w:type="dxa" w:w="2436"/>
          </w:tcPr>
          <w:p>
            <w:r>
              <w:t>Valore prelevato in tempo reale da ERP.</w:t>
            </w:r>
          </w:p>
        </w:tc>
        <w:tc>
          <w:tcPr>
            <w:tcW w:type="dxa" w:w="2436"/>
          </w:tcPr>
          <w:p>
            <w:r>
              <w:t>Fuori V1</w:t>
            </w:r>
          </w:p>
        </w:tc>
        <w:tc>
          <w:tcPr>
            <w:tcW w:type="dxa" w:w="2436"/>
          </w:tcPr>
          <w:p>
            <w:r>
              <w:t>Preferire sincronizzazione/replica controllata.</w:t>
            </w:r>
          </w:p>
        </w:tc>
      </w:tr>
    </w:tbl>
    <w:p>
      <w:pPr>
        <w:pStyle w:val="Heading2"/>
      </w:pPr>
      <w:r>
        <w:t>14.3 Regole funzionali per ERP-linked field</w:t>
      </w:r>
    </w:p>
    <w:p>
      <w:pPr>
        <w:spacing w:after="20"/>
        <w:ind w:left="227"/>
      </w:pPr>
      <w:r>
        <w:t>• Ogni campo collegato ERP deve dichiarare ownership del valore: app, ERP o modello governato.</w:t>
      </w:r>
    </w:p>
    <w:p>
      <w:pPr>
        <w:spacing w:after="20"/>
        <w:ind w:left="227"/>
      </w:pPr>
      <w:r>
        <w:t>• Se il campo è sola lettura, la UI deve visualizzare chiaramente l’origine esterna.</w:t>
      </w:r>
    </w:p>
    <w:p>
      <w:pPr>
        <w:spacing w:after="20"/>
        <w:ind w:left="227"/>
      </w:pPr>
      <w:r>
        <w:t>• La scrittura app → ERP richiede stato di sincronizzazione e messaggio di errore comprensibile.</w:t>
      </w:r>
    </w:p>
    <w:p>
      <w:pPr>
        <w:spacing w:after="20"/>
        <w:ind w:left="227"/>
      </w:pPr>
      <w:r>
        <w:t>• Il bidirezionale non è la scelta standard; in V1 deve essere eccezione documentata.</w:t>
      </w:r>
    </w:p>
    <w:p>
      <w:pPr>
        <w:pStyle w:val="Heading1"/>
      </w:pPr>
      <w:r>
        <w:t>15. Uso nei punti di consumo</w:t>
      </w:r>
    </w:p>
    <w:p>
      <w:pPr>
        <w:pStyle w:val="Heading2"/>
      </w:pPr>
      <w:r>
        <w:t>15.1 Schermate</w:t>
      </w:r>
    </w:p>
    <w:p>
      <w:pPr>
        <w:spacing w:after="20"/>
        <w:ind w:left="227"/>
      </w:pPr>
      <w:r>
        <w:t>• Il campo può comparire in testata, drawer, tab dedicate o sezione “Campi personalizzati”.</w:t>
      </w:r>
    </w:p>
    <w:p>
      <w:pPr>
        <w:spacing w:after="20"/>
        <w:ind w:left="227"/>
      </w:pPr>
      <w:r>
        <w:t>• In V1 evitare di rompere i layout core: usare aree prevedibili e progressive disclosure.</w:t>
      </w:r>
    </w:p>
    <w:p>
      <w:pPr>
        <w:spacing w:after="20"/>
        <w:ind w:left="227"/>
      </w:pPr>
      <w:r>
        <w:t>• Su pagine shopfloor i campi custom devono essere pochissimi e solo se marcati come rilevanti per il canale MES.</w:t>
      </w:r>
    </w:p>
    <w:p>
      <w:pPr>
        <w:pStyle w:val="Heading2"/>
      </w:pPr>
      <w:r>
        <w:t>15.2 Griglie</w:t>
      </w:r>
    </w:p>
    <w:p>
      <w:pPr>
        <w:spacing w:after="20"/>
        <w:ind w:left="227"/>
      </w:pPr>
      <w:r>
        <w:t>• Ogni campo può essere marcato come usabile in colonna griglia.</w:t>
      </w:r>
    </w:p>
    <w:p>
      <w:pPr>
        <w:spacing w:after="20"/>
        <w:ind w:left="227"/>
      </w:pPr>
      <w:r>
        <w:t>• Le griglie devono poter includere colonne custom, ma con limite pratico per non degradare UX e performance.</w:t>
      </w:r>
    </w:p>
    <w:p>
      <w:pPr>
        <w:spacing w:after="20"/>
        <w:ind w:left="227"/>
      </w:pPr>
      <w:r>
        <w:t>• Supportare ordinamento su tipi semplici dove tecnicamente sostenibile.</w:t>
      </w:r>
    </w:p>
    <w:p>
      <w:pPr>
        <w:pStyle w:val="Heading2"/>
      </w:pPr>
      <w:r>
        <w:t>15.3 Ricerca e filtri</w:t>
      </w:r>
    </w:p>
    <w:p>
      <w:pPr>
        <w:spacing w:after="20"/>
        <w:ind w:left="227"/>
      </w:pPr>
      <w:r>
        <w:t>• Supporto V1 per filtri su testo, numero, booleano, data, lista e lookup.</w:t>
      </w:r>
    </w:p>
    <w:p>
      <w:pPr>
        <w:spacing w:after="20"/>
        <w:ind w:left="227"/>
      </w:pPr>
      <w:r>
        <w:t>• Ricerca globale full text su campi custom: fuori V1 salvo implementazione minimale per alcuni oggetti.</w:t>
      </w:r>
    </w:p>
    <w:p>
      <w:pPr>
        <w:spacing w:after="20"/>
        <w:ind w:left="227"/>
      </w:pPr>
      <w:r>
        <w:t>• Le liste molto grandi devono evitare filtri custom troppo costosi non indicizzati.</w:t>
      </w:r>
    </w:p>
    <w:p>
      <w:pPr>
        <w:pStyle w:val="Heading2"/>
      </w:pPr>
      <w:r>
        <w:t>15.4 Report ed export</w:t>
      </w:r>
    </w:p>
    <w:p>
      <w:pPr>
        <w:spacing w:after="20"/>
        <w:ind w:left="227"/>
      </w:pPr>
      <w:r>
        <w:t>• I campi custom devono poter essere inclusi in export tabellari standard.</w:t>
      </w:r>
    </w:p>
    <w:p>
      <w:pPr>
        <w:spacing w:after="20"/>
        <w:ind w:left="227"/>
      </w:pPr>
      <w:r>
        <w:t>• Nei report applicativi devono essere selezionabili come colonne, se marcati reportable.</w:t>
      </w:r>
    </w:p>
    <w:p>
      <w:pPr>
        <w:spacing w:after="20"/>
        <w:ind w:left="227"/>
      </w:pPr>
      <w:r>
        <w:t>• La reportistica pixel-perfect avanzata resta fuori V1.</w:t>
      </w:r>
    </w:p>
    <w:p>
      <w:pPr>
        <w:pStyle w:val="Heading2"/>
      </w:pPr>
      <w:r>
        <w:t>15.5 Etichette</w:t>
      </w:r>
    </w:p>
    <w:p>
      <w:pPr>
        <w:spacing w:after="20"/>
        <w:ind w:left="227"/>
      </w:pPr>
      <w:r>
        <w:t>• I campi custom devono poter essere disponibili nell’editor etichette quando il contesto oggetto è compatibile.</w:t>
      </w:r>
    </w:p>
    <w:p>
      <w:pPr>
        <w:spacing w:after="20"/>
        <w:ind w:left="227"/>
      </w:pPr>
      <w:r>
        <w:t>• Solo i campi marcati label-available entrano nel catalogo dei campi dinamici del template.</w:t>
      </w:r>
    </w:p>
    <w:p>
      <w:pPr>
        <w:spacing w:after="20"/>
        <w:ind w:left="227"/>
      </w:pPr>
      <w:r>
        <w:t>• Se il campo è di riga, la disponibilità in etichetta dipende dal contesto stampa di quella riga.</w:t>
      </w:r>
    </w:p>
    <w:p>
      <w:pPr>
        <w:pStyle w:val="Heading1"/>
      </w:pPr>
      <w:r>
        <w:t>16. Permessi, audit e versioning</w:t>
      </w:r>
    </w:p>
    <w:p>
      <w:pPr>
        <w:pStyle w:val="Heading2"/>
      </w:pPr>
      <w:r>
        <w:t>16.1 Permessi</w:t>
      </w:r>
    </w:p>
    <w:p>
      <w:pPr>
        <w:spacing w:after="20"/>
        <w:ind w:left="227"/>
      </w:pPr>
      <w:r>
        <w:t>• Creazione/modifica delle definizioni campo riservata ad admin tenant o ruoli equivalenti.</w:t>
      </w:r>
    </w:p>
    <w:p>
      <w:pPr>
        <w:spacing w:after="20"/>
        <w:ind w:left="227"/>
      </w:pPr>
      <w:r>
        <w:t>• Valorizzazione dei campi soggetta ai permessi dell’oggetto e alle regole del campo stesso.</w:t>
      </w:r>
    </w:p>
    <w:p>
      <w:pPr>
        <w:spacing w:after="20"/>
        <w:ind w:left="227"/>
      </w:pPr>
      <w:r>
        <w:t>• Deve essere possibile separare il permesso di definire il campo dal permesso di usarlo o vederlo.</w:t>
      </w:r>
    </w:p>
    <w:p>
      <w:pPr>
        <w:pStyle w:val="Heading2"/>
      </w:pPr>
      <w:r>
        <w:t>16.2 Audit</w:t>
      </w:r>
    </w:p>
    <w:p>
      <w:pPr>
        <w:spacing w:after="20"/>
        <w:ind w:left="227"/>
      </w:pPr>
      <w:r>
        <w:t>• Audit sulle definizioni: creazione, modifica, attivazione, disattivazione, cambio regole, cambio mapping ERP.</w:t>
      </w:r>
    </w:p>
    <w:p>
      <w:pPr>
        <w:spacing w:after="20"/>
        <w:ind w:left="227"/>
      </w:pPr>
      <w:r>
        <w:t>• Audit sui valori: almeno per oggetti critici e campi marcati audit-relevant.</w:t>
      </w:r>
    </w:p>
    <w:p>
      <w:pPr>
        <w:spacing w:after="20"/>
        <w:ind w:left="227"/>
      </w:pPr>
      <w:r>
        <w:t>• Audit differenziato tra modifica di configurazione e modifica di dato operativo.</w:t>
      </w:r>
    </w:p>
    <w:p>
      <w:pPr>
        <w:pStyle w:val="Heading2"/>
      </w:pPr>
      <w:r>
        <w:t>16.3 Versioning</w:t>
      </w:r>
    </w:p>
    <w:p>
      <w:pPr>
        <w:spacing w:after="20"/>
        <w:ind w:left="227"/>
      </w:pPr>
      <w:r>
        <w:t>• Le definizioni campo devono avere almeno stato e storico modifiche.</w:t>
      </w:r>
    </w:p>
    <w:p>
      <w:pPr>
        <w:spacing w:after="20"/>
        <w:ind w:left="227"/>
      </w:pPr>
      <w:r>
        <w:t>• Se cambia la semantica del campo in modo incompatibile (tipo, formula, mapping, scopo), la soluzione consigliata è nuova definizione o nuova versione logica, non overwrite distruttivo.</w:t>
      </w:r>
    </w:p>
    <w:p>
      <w:pPr>
        <w:spacing w:after="20"/>
        <w:ind w:left="227"/>
      </w:pPr>
      <w:r>
        <w:t>• Il team DB deve valutare se modellare la definizione in tabella versionata o con audit + stato; la baseline funzionale richiede comunque ricostruibilità.</w:t>
      </w:r>
    </w:p>
    <w:p>
      <w:pPr>
        <w:pStyle w:val="Heading1"/>
      </w:pPr>
      <w:r>
        <w:t>17. V1 vs fuori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In V1</w:t>
            </w:r>
          </w:p>
        </w:tc>
        <w:tc>
          <w:tcPr>
            <w:tcW w:type="dxa" w:w="3249"/>
            <w:shd w:fill="D9EAF7"/>
          </w:tcPr>
          <w:p>
            <w:r>
              <w:t>Fuori V1</w:t>
            </w:r>
          </w:p>
        </w:tc>
        <w:tc>
          <w:tcPr>
            <w:tcW w:type="dxa" w:w="3249"/>
            <w:shd w:fill="D9EAF7"/>
          </w:tcPr>
          <w:p>
            <w:r>
              <w:t>Note</w:t>
            </w:r>
          </w:p>
        </w:tc>
      </w:tr>
      <w:tr>
        <w:tc>
          <w:tcPr>
            <w:tcW w:type="dxa" w:w="3249"/>
          </w:tcPr>
          <w:p>
            <w:r>
              <w:t>Oggetti selezionati in matrice V1</w:t>
            </w:r>
          </w:p>
        </w:tc>
        <w:tc>
          <w:tcPr>
            <w:tcW w:type="dxa" w:w="3249"/>
          </w:tcPr>
          <w:p>
            <w:r>
              <w:t>Copertura di ogni oggetto del sistema</w:t>
            </w:r>
          </w:p>
        </w:tc>
        <w:tc>
          <w:tcPr>
            <w:tcW w:type="dxa" w:w="3249"/>
          </w:tcPr>
          <w:p>
            <w:r>
              <w:t>Partire dai domini core.</w:t>
            </w:r>
          </w:p>
        </w:tc>
      </w:tr>
      <w:tr>
        <w:tc>
          <w:tcPr>
            <w:tcW w:type="dxa" w:w="3249"/>
          </w:tcPr>
          <w:p>
            <w:r>
              <w:t>Tipi base + lookup + utente + calcolato guidato</w:t>
            </w:r>
          </w:p>
        </w:tc>
        <w:tc>
          <w:tcPr>
            <w:tcW w:type="dxa" w:w="3249"/>
          </w:tcPr>
          <w:p>
            <w:r>
              <w:t>File, immagini, rich text avanzato, geolocalizzazione, JSON libero</w:t>
            </w:r>
          </w:p>
        </w:tc>
        <w:tc>
          <w:tcPr>
            <w:tcW w:type="dxa" w:w="3249"/>
          </w:tcPr>
          <w:p>
            <w:r>
              <w:t>Controllo complessità.</w:t>
            </w:r>
          </w:p>
        </w:tc>
      </w:tr>
      <w:tr>
        <w:tc>
          <w:tcPr>
            <w:tcW w:type="dxa" w:w="3249"/>
          </w:tcPr>
          <w:p>
            <w:r>
              <w:t>Regole guidate di visibilità/editabilità/mandatory/default</w:t>
            </w:r>
          </w:p>
        </w:tc>
        <w:tc>
          <w:tcPr>
            <w:tcW w:type="dxa" w:w="3249"/>
          </w:tcPr>
          <w:p>
            <w:r>
              <w:t>Motore regole arbitrario con scripting</w:t>
            </w:r>
          </w:p>
        </w:tc>
        <w:tc>
          <w:tcPr>
            <w:tcW w:type="dxa" w:w="3249"/>
          </w:tcPr>
          <w:p>
            <w:r>
              <w:t>No-code configurativo controllato.</w:t>
            </w:r>
          </w:p>
        </w:tc>
      </w:tr>
      <w:tr>
        <w:tc>
          <w:tcPr>
            <w:tcW w:type="dxa" w:w="3249"/>
          </w:tcPr>
          <w:p>
            <w:r>
              <w:t>Propagazione selettiva iniziale</w:t>
            </w:r>
          </w:p>
        </w:tc>
        <w:tc>
          <w:tcPr>
            <w:tcW w:type="dxa" w:w="3249"/>
          </w:tcPr>
          <w:p>
            <w:r>
              <w:t>Sync continua multi-hop indiscriminata</w:t>
            </w:r>
          </w:p>
        </w:tc>
        <w:tc>
          <w:tcPr>
            <w:tcW w:type="dxa" w:w="3249"/>
          </w:tcPr>
          <w:p>
            <w:r>
              <w:t>Tracciabilità prima della potenza.</w:t>
            </w:r>
          </w:p>
        </w:tc>
      </w:tr>
      <w:tr>
        <w:tc>
          <w:tcPr>
            <w:tcW w:type="dxa" w:w="3249"/>
          </w:tcPr>
          <w:p>
            <w:r>
              <w:t>ERP read-only e write selettivo</w:t>
            </w:r>
          </w:p>
        </w:tc>
        <w:tc>
          <w:tcPr>
            <w:tcW w:type="dxa" w:w="3249"/>
          </w:tcPr>
          <w:p>
            <w:r>
              <w:t>Bidirezionale esteso per default</w:t>
            </w:r>
          </w:p>
        </w:tc>
        <w:tc>
          <w:tcPr>
            <w:tcW w:type="dxa" w:w="3249"/>
          </w:tcPr>
          <w:p>
            <w:r>
              <w:t>Ownership chiara del dato.</w:t>
            </w:r>
          </w:p>
        </w:tc>
      </w:tr>
      <w:tr>
        <w:tc>
          <w:tcPr>
            <w:tcW w:type="dxa" w:w="3249"/>
          </w:tcPr>
          <w:p>
            <w:r>
              <w:t>Griglie, filtri, export, etichette in punti controllati</w:t>
            </w:r>
          </w:p>
        </w:tc>
        <w:tc>
          <w:tcPr>
            <w:tcW w:type="dxa" w:w="3249"/>
          </w:tcPr>
          <w:p>
            <w:r>
              <w:t>Search semantica globale e reportistica avanzata pixel-perfect</w:t>
            </w:r>
          </w:p>
        </w:tc>
        <w:tc>
          <w:tcPr>
            <w:tcW w:type="dxa" w:w="3249"/>
          </w:tcPr>
          <w:p>
            <w:r>
              <w:t>Perimetro pragmatico.</w:t>
            </w:r>
          </w:p>
        </w:tc>
      </w:tr>
      <w:tr>
        <w:tc>
          <w:tcPr>
            <w:tcW w:type="dxa" w:w="3249"/>
          </w:tcPr>
          <w:p>
            <w:r>
              <w:t>Campi calcolati con wizard</w:t>
            </w:r>
          </w:p>
        </w:tc>
        <w:tc>
          <w:tcPr>
            <w:tcW w:type="dxa" w:w="3249"/>
          </w:tcPr>
          <w:p>
            <w:r>
              <w:t>Formula language aperto</w:t>
            </w:r>
          </w:p>
        </w:tc>
        <w:tc>
          <w:tcPr>
            <w:tcW w:type="dxa" w:w="3249"/>
          </w:tcPr>
          <w:p>
            <w:r>
              <w:t>UX e governance prima.</w:t>
            </w:r>
          </w:p>
        </w:tc>
      </w:tr>
    </w:tbl>
    <w:p>
      <w:pPr>
        <w:pStyle w:val="Heading1"/>
      </w:pPr>
      <w:r>
        <w:t>18. Implicazioni per i team</w:t>
      </w:r>
    </w:p>
    <w:p>
      <w:pPr>
        <w:pStyle w:val="Heading2"/>
      </w:pPr>
      <w:r>
        <w:t>18.1 Nikolay — baseline DB</w:t>
      </w:r>
    </w:p>
    <w:p>
      <w:pPr>
        <w:spacing w:after="20"/>
        <w:ind w:left="227"/>
      </w:pPr>
      <w:r>
        <w:t>• Definire il modello dati tenant-scoped per le definizioni campo e per i valori, coerente con DB-00 su naming, id, tenant_id, audit, versioning e policy JSON.</w:t>
      </w:r>
    </w:p>
    <w:p>
      <w:pPr>
        <w:spacing w:after="20"/>
        <w:ind w:left="227"/>
      </w:pPr>
      <w:r>
        <w:t>• Separare definizione campo, regole, punti di consumo e valori operativi.</w:t>
      </w:r>
    </w:p>
    <w:p>
      <w:pPr>
        <w:spacing w:after="20"/>
        <w:ind w:left="227"/>
      </w:pPr>
      <w:r>
        <w:t>• Valutare con attenzione il supporto a righe, evitando strutture troppo generiche che rendano ingestibili performance e query.</w:t>
      </w:r>
    </w:p>
    <w:p>
      <w:pPr>
        <w:spacing w:after="20"/>
        <w:ind w:left="227"/>
      </w:pPr>
      <w:r>
        <w:t>• Presidiare indici e vincoli minimi per filtri, griglie ed export.</w:t>
      </w:r>
    </w:p>
    <w:p>
      <w:pPr>
        <w:pStyle w:val="Heading2"/>
      </w:pPr>
      <w:r>
        <w:t>18.2 Ole — integrazioni ERP</w:t>
      </w:r>
    </w:p>
    <w:p>
      <w:pPr>
        <w:spacing w:after="20"/>
        <w:ind w:left="227"/>
      </w:pPr>
      <w:r>
        <w:t>• Stabilire per quali oggetti/campi ha senso supportare sola lettura, scrittura o casi eccezionali bidirezionali.</w:t>
      </w:r>
    </w:p>
    <w:p>
      <w:pPr>
        <w:spacing w:after="20"/>
        <w:ind w:left="227"/>
      </w:pPr>
      <w:r>
        <w:t>• Definire ownership del dato e regole di sync/error handling per i campi collegati ERP.</w:t>
      </w:r>
    </w:p>
    <w:p>
      <w:pPr>
        <w:spacing w:after="20"/>
        <w:ind w:left="227"/>
      </w:pPr>
      <w:r>
        <w:t>• Evitare promesse di integrazione general purpose non sostenibili nella V1.</w:t>
      </w:r>
    </w:p>
    <w:p>
      <w:pPr>
        <w:pStyle w:val="Heading2"/>
      </w:pPr>
      <w:r>
        <w:t>18.3 Marit — UX/wizard</w:t>
      </w:r>
    </w:p>
    <w:p>
      <w:pPr>
        <w:spacing w:after="20"/>
        <w:ind w:left="227"/>
      </w:pPr>
      <w:r>
        <w:t>• Progettare l’IA del modulo campi custom come capability di piattaforma.</w:t>
      </w:r>
    </w:p>
    <w:p>
      <w:pPr>
        <w:spacing w:after="20"/>
        <w:ind w:left="227"/>
      </w:pPr>
      <w:r>
        <w:t>• Disegnare wizard guidati per definizione campo, visibilità/regole, propagazione e formula.</w:t>
      </w:r>
    </w:p>
    <w:p>
      <w:pPr>
        <w:spacing w:after="20"/>
        <w:ind w:left="227"/>
      </w:pPr>
      <w:r>
        <w:t>• Mantenere i layout core puliti, usando sezioni e drawer dedicati per i campi custom nelle pagine operative.</w:t>
      </w:r>
    </w:p>
    <w:p>
      <w:pPr>
        <w:pStyle w:val="Heading2"/>
      </w:pPr>
      <w:r>
        <w:t>18.4 Isabell — sviluppo incrementale</w:t>
      </w:r>
    </w:p>
    <w:p>
      <w:pPr>
        <w:spacing w:after="20"/>
        <w:ind w:left="227"/>
      </w:pPr>
      <w:r>
        <w:t>• Costruire la capacità per slice: definizione campo → consumo in dettaglio → consumo in griglia → filtri/export → etichette → calcolati → ERP-linked where approved.</w:t>
      </w:r>
    </w:p>
    <w:p>
      <w:pPr>
        <w:spacing w:after="20"/>
        <w:ind w:left="227"/>
      </w:pPr>
      <w:r>
        <w:t>• Evitare implementazioni one-off pagina per pagina.</w:t>
      </w:r>
    </w:p>
    <w:p>
      <w:pPr>
        <w:spacing w:after="20"/>
        <w:ind w:left="227"/>
      </w:pPr>
      <w:r>
        <w:t>• Preservare audit, permessi e testabilità fin dal primo slice.</w:t>
      </w:r>
    </w:p>
    <w:p>
      <w:pPr>
        <w:pStyle w:val="Heading1"/>
      </w:pPr>
      <w:r>
        <w:t>19. Raccomandazione di rollout incrementale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Slice</w:t>
            </w:r>
          </w:p>
        </w:tc>
        <w:tc>
          <w:tcPr>
            <w:tcW w:type="dxa" w:w="3249"/>
            <w:shd w:fill="D9EAF7"/>
          </w:tcPr>
          <w:p>
            <w:r>
              <w:t>Perimetro</w:t>
            </w:r>
          </w:p>
        </w:tc>
        <w:tc>
          <w:tcPr>
            <w:tcW w:type="dxa" w:w="3249"/>
            <w:shd w:fill="D9EAF7"/>
          </w:tcPr>
          <w:p>
            <w:r>
              <w:t>Esito atteso</w:t>
            </w:r>
          </w:p>
        </w:tc>
      </w:tr>
      <w:tr>
        <w:tc>
          <w:tcPr>
            <w:tcW w:type="dxa" w:w="3249"/>
          </w:tcPr>
          <w:p>
            <w:r>
              <w:t>Slice 1</w:t>
            </w:r>
          </w:p>
        </w:tc>
        <w:tc>
          <w:tcPr>
            <w:tcW w:type="dxa" w:w="3249"/>
          </w:tcPr>
          <w:p>
            <w:r>
              <w:t>Definizione campi custom di testata su Commessa e ODP</w:t>
            </w:r>
          </w:p>
        </w:tc>
        <w:tc>
          <w:tcPr>
            <w:tcW w:type="dxa" w:w="3249"/>
          </w:tcPr>
          <w:p>
            <w:r>
              <w:t>Creazione, dettaglio, audit, visibilità/editabilità/default.</w:t>
            </w:r>
          </w:p>
        </w:tc>
      </w:tr>
      <w:tr>
        <w:tc>
          <w:tcPr>
            <w:tcW w:type="dxa" w:w="3249"/>
          </w:tcPr>
          <w:p>
            <w:r>
              <w:t>Slice 2</w:t>
            </w:r>
          </w:p>
        </w:tc>
        <w:tc>
          <w:tcPr>
            <w:tcW w:type="dxa" w:w="3249"/>
          </w:tcPr>
          <w:p>
            <w:r>
              <w:t>Colonne griglia + filtri base per stessi oggetti</w:t>
            </w:r>
          </w:p>
        </w:tc>
        <w:tc>
          <w:tcPr>
            <w:tcW w:type="dxa" w:w="3249"/>
          </w:tcPr>
          <w:p>
            <w:r>
              <w:t>Consumo operativo reale.</w:t>
            </w:r>
          </w:p>
        </w:tc>
      </w:tr>
      <w:tr>
        <w:tc>
          <w:tcPr>
            <w:tcW w:type="dxa" w:w="3249"/>
          </w:tcPr>
          <w:p>
            <w:r>
              <w:t>Slice 3</w:t>
            </w:r>
          </w:p>
        </w:tc>
        <w:tc>
          <w:tcPr>
            <w:tcW w:type="dxa" w:w="3249"/>
          </w:tcPr>
          <w:p>
            <w:r>
              <w:t>Campi su righe per DIBA e Materiali effettivi ODP</w:t>
            </w:r>
          </w:p>
        </w:tc>
        <w:tc>
          <w:tcPr>
            <w:tcW w:type="dxa" w:w="3249"/>
          </w:tcPr>
          <w:p>
            <w:r>
              <w:t>Validazione modello riga.</w:t>
            </w:r>
          </w:p>
        </w:tc>
      </w:tr>
      <w:tr>
        <w:tc>
          <w:tcPr>
            <w:tcW w:type="dxa" w:w="3249"/>
          </w:tcPr>
          <w:p>
            <w:r>
              <w:t>Slice 4</w:t>
            </w:r>
          </w:p>
        </w:tc>
        <w:tc>
          <w:tcPr>
            <w:tcW w:type="dxa" w:w="3249"/>
          </w:tcPr>
          <w:p>
            <w:r>
              <w:t>Etichette ed export</w:t>
            </w:r>
          </w:p>
        </w:tc>
        <w:tc>
          <w:tcPr>
            <w:tcW w:type="dxa" w:w="3249"/>
          </w:tcPr>
          <w:p>
            <w:r>
              <w:t>Riutilizzo trasversale.</w:t>
            </w:r>
          </w:p>
        </w:tc>
      </w:tr>
      <w:tr>
        <w:tc>
          <w:tcPr>
            <w:tcW w:type="dxa" w:w="3249"/>
          </w:tcPr>
          <w:p>
            <w:r>
              <w:t>Slice 5</w:t>
            </w:r>
          </w:p>
        </w:tc>
        <w:tc>
          <w:tcPr>
            <w:tcW w:type="dxa" w:w="3249"/>
          </w:tcPr>
          <w:p>
            <w:r>
              <w:t>Campi calcolati guidati</w:t>
            </w:r>
          </w:p>
        </w:tc>
        <w:tc>
          <w:tcPr>
            <w:tcW w:type="dxa" w:w="3249"/>
          </w:tcPr>
          <w:p>
            <w:r>
              <w:t>Automazione controllata.</w:t>
            </w:r>
          </w:p>
        </w:tc>
      </w:tr>
      <w:tr>
        <w:tc>
          <w:tcPr>
            <w:tcW w:type="dxa" w:w="3249"/>
          </w:tcPr>
          <w:p>
            <w:r>
              <w:t>Slice 6</w:t>
            </w:r>
          </w:p>
        </w:tc>
        <w:tc>
          <w:tcPr>
            <w:tcW w:type="dxa" w:w="3249"/>
          </w:tcPr>
          <w:p>
            <w:r>
              <w:t>ERP-linked fields selettivi</w:t>
            </w:r>
          </w:p>
        </w:tc>
        <w:tc>
          <w:tcPr>
            <w:tcW w:type="dxa" w:w="3249"/>
          </w:tcPr>
          <w:p>
            <w:r>
              <w:t>Estensione con governance integra.</w:t>
            </w:r>
          </w:p>
        </w:tc>
      </w:tr>
    </w:tbl>
    <w:p>
      <w:pPr>
        <w:pStyle w:val="Heading1"/>
      </w:pPr>
      <w:r>
        <w:t>20. Conclusione</w:t>
      </w:r>
    </w:p>
    <w:p>
      <w:pPr/>
      <w:r>
        <w:t>La capacità di campi personalizzati / attributi dinamici tenant-scoped deve essere trattata come un’estensione trasversale di piattaforma, capace di aumentare la flessibilità del prodotto senza snaturarne la governabilità. La V1 deve puntare a un perimetro selettivo ma solido: oggetti prioritari, tipi campo ben definiti, regole guidate, punti di consumo chiari, audit nativo, propagazione controllata, supporto a etichette ed export, ERP linkage selettivo. Il livello di potenza deve crescere per slice incrementali e non tramite un motore eccessivamente generico sin dal primo rilascio.</w:t>
      </w:r>
    </w:p>
    <w:sectPr w:rsidR="00FC693F" w:rsidRPr="0006063C" w:rsidSect="00034616"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Esyy Flow — Analisi funzionale trasversale campi personalizzati tenant-scoped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Body">
    <w:name w:val="Custom Body"/>
    <w:rPr>
      <w:rFonts w:ascii="Aptos" w:hAnsi="Aptos"/>
      <w:sz w:val="21"/>
    </w:rPr>
  </w:style>
  <w:style w:type="paragraph" w:customStyle="1" w:styleId="CustomSmall">
    <w:name w:val="Custom Small"/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