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2f430a8d59f04544a7947d9d092848ef877eec8"/>
    <w:p>
      <w:pPr>
        <w:pStyle w:val="Heading1"/>
      </w:pPr>
      <w:r>
        <w:t xml:space="preserve">OLE‑00 — Baseline integrazione ERP SAP Business One</w:t>
      </w:r>
    </w:p>
    <w:bookmarkStart w:id="26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Esyy Flow è una piattaforma SaaS multi‑tenant per gestire produzione, MES, conto lavoro, qualità e tracciabilità. Il work‑stream integrazione deve fornire un collegamento coerente con l’ERP senza vincolare l’evoluzione del prodotto a un’implementazione specifica. In particolare la</w:t>
      </w:r>
      <w:r>
        <w:t xml:space="preserve"> </w:t>
      </w:r>
      <w:r>
        <w:rPr>
          <w:b/>
          <w:bCs/>
        </w:rPr>
        <w:t xml:space="preserve">versione 1 (V1)</w:t>
      </w:r>
      <w:r>
        <w:t xml:space="preserve"> </w:t>
      </w:r>
      <w:r>
        <w:t xml:space="preserve">prevede l’integrazione con</w:t>
      </w:r>
      <w:r>
        <w:t xml:space="preserve"> </w:t>
      </w:r>
      <w:r>
        <w:rPr>
          <w:b/>
          <w:bCs/>
        </w:rPr>
        <w:t xml:space="preserve">SAP Business One</w:t>
      </w:r>
      <w:r>
        <w:t xml:space="preserve">. Questo documento definisce le ipotesi e le decisioni iniziali sul perimetro di integrazione per V1.</w:t>
      </w:r>
    </w:p>
    <w:p>
      <w:pPr>
        <w:pStyle w:val="BodyText"/>
      </w:pPr>
      <w:r>
        <w:t xml:space="preserve">L’</w:t>
      </w:r>
      <w:r>
        <w:rPr>
          <w:b/>
          <w:bCs/>
        </w:rPr>
        <w:t xml:space="preserve">SAP Business One Service Layer</w:t>
      </w:r>
      <w:r>
        <w:t xml:space="preserve"> </w:t>
      </w:r>
      <w:r>
        <w:t xml:space="preserve">espone la maggior parte degli oggetti di Business One tramite un’API RESTful conforme a OData. La documentazione ufficiale sottolinea che il Service Layer offre «un modo uniforme di esporre oggetti di business completi su un server Web ad alta scalabilità»; è basato sui protocolli HTTP e OData e supporta sia</w:t>
      </w:r>
      <w:r>
        <w:t xml:space="preserve"> </w:t>
      </w:r>
      <w:r>
        <w:rPr>
          <w:b/>
          <w:bCs/>
        </w:rPr>
        <w:t xml:space="preserve">OData v3 sia OData v4</w:t>
      </w:r>
      <w:hyperlink r:id="rId21">
        <w:r>
          <w:rPr>
            <w:rStyle w:val="Hyperlink"/>
          </w:rPr>
          <w:t xml:space="preserve">[1]</w:t>
        </w:r>
      </w:hyperlink>
      <w:r>
        <w:t xml:space="preserve">. Il Service Layer utilizza il</w:t>
      </w:r>
      <w:r>
        <w:t xml:space="preserve"> </w:t>
      </w:r>
      <w:r>
        <w:rPr>
          <w:b/>
          <w:bCs/>
        </w:rPr>
        <w:t xml:space="preserve">DI Core</w:t>
      </w:r>
      <w:r>
        <w:t xml:space="preserve"> </w:t>
      </w:r>
      <w:r>
        <w:t xml:space="preserve">come accesso ai dati; di conseguenza, gli oggetti e le proprietà esposti tramite Service Layer sono identici a quelli del</w:t>
      </w:r>
      <w:r>
        <w:t xml:space="preserve"> </w:t>
      </w:r>
      <w:r>
        <w:rPr>
          <w:b/>
          <w:bCs/>
        </w:rPr>
        <w:t xml:space="preserve">DI API</w:t>
      </w:r>
      <w:hyperlink r:id="rId22">
        <w:r>
          <w:rPr>
            <w:rStyle w:val="Hyperlink"/>
          </w:rPr>
          <w:t xml:space="preserve">[2]</w:t>
        </w:r>
      </w:hyperlink>
      <w:r>
        <w:t xml:space="preserve">. A partire dal Feature Pack 2405 il protocollo OData v3 è deprecato e SAP raccomanda di usare OData v4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L’</w:t>
      </w:r>
      <w:r>
        <w:rPr>
          <w:b/>
          <w:bCs/>
        </w:rPr>
        <w:t xml:space="preserve">SAP Business One DI API</w:t>
      </w:r>
      <w:r>
        <w:t xml:space="preserve"> </w:t>
      </w:r>
      <w:r>
        <w:t xml:space="preserve">è una libreria COM che permette a un’applicazione (.NET, VB6 ecc.) di collegarsi al database della società e manipolare i dati. La documentazione descrive il DI API come «un’interfaccia al database aziendale di SAP Business One che consente la manipolazione dei dati»</w:t>
      </w:r>
      <w:hyperlink r:id="rId24">
        <w:r>
          <w:rPr>
            <w:rStyle w:val="Hyperlink"/>
          </w:rPr>
          <w:t xml:space="preserve">[4]</w:t>
        </w:r>
      </w:hyperlink>
      <w:r>
        <w:t xml:space="preserve">. Le esercitazioni ufficiali per sviluppatori richiedono di aggiungere un riferimento alla</w:t>
      </w:r>
      <w:r>
        <w:t xml:space="preserve"> </w:t>
      </w:r>
      <w:r>
        <w:rPr>
          <w:b/>
          <w:bCs/>
        </w:rPr>
        <w:t xml:space="preserve">libreria COM “SAP Business One DI API”</w:t>
      </w:r>
      <w:r>
        <w:t xml:space="preserve"> </w:t>
      </w:r>
      <w:r>
        <w:t xml:space="preserve">nei progetti Visual Studio</w:t>
      </w:r>
      <w:hyperlink r:id="rId25">
        <w:r>
          <w:rPr>
            <w:rStyle w:val="Hyperlink"/>
          </w:rPr>
          <w:t xml:space="preserve">[5]</w:t>
        </w:r>
      </w:hyperlink>
      <w:r>
        <w:t xml:space="preserve">, evidenziando che il DI API è disponibile solo su ambienti Windows e richiede un’installazione locale dell’SDK.</w:t>
      </w:r>
    </w:p>
    <w:p>
      <w:pPr>
        <w:pStyle w:val="BodyText"/>
      </w:pPr>
      <w:r>
        <w:t xml:space="preserve">Questa baseline assume l’uso prevalente del</w:t>
      </w:r>
      <w:r>
        <w:t xml:space="preserve"> </w:t>
      </w:r>
      <w:r>
        <w:rPr>
          <w:b/>
          <w:bCs/>
        </w:rPr>
        <w:t xml:space="preserve">Service Layer</w:t>
      </w:r>
      <w:r>
        <w:t xml:space="preserve"> </w:t>
      </w:r>
      <w:r>
        <w:t xml:space="preserve">per le integrazioni, privilegiando OData v4, ma mantiene aperta la valutazione del DI API per aree non coperte o per scenari di caricamento massivo. Nelle sezioni seguenti si identificano i domini da integrare, la direzione dei flussi, le tecnologie candidate, gli oggetti SAP da esplorare e i principali rischi.</w:t>
      </w:r>
    </w:p>
    <w:bookmarkEnd w:id="26"/>
    <w:bookmarkStart w:id="28" w:name="Xa22e8da9ba1919cb19a82ea2f8ce5541318896e"/>
    <w:p>
      <w:pPr>
        <w:pStyle w:val="Heading2"/>
      </w:pPr>
      <w:r>
        <w:t xml:space="preserve">Domini applicativi da integrare in V1 e classificazione dei flussi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 / processo</w:t>
            </w:r>
          </w:p>
        </w:tc>
        <w:tc>
          <w:tcPr/>
          <w:p>
            <w:pPr>
              <w:pStyle w:val="Compact"/>
            </w:pPr>
            <w:r>
              <w:t xml:space="preserve">Dati/entità chiave</w:t>
            </w:r>
          </w:p>
        </w:tc>
        <w:tc>
          <w:tcPr/>
          <w:p>
            <w:pPr>
              <w:pStyle w:val="Compact"/>
            </w:pPr>
            <w:r>
              <w:t xml:space="preserve">Direzione del flusso (V1)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Anagrafiche prodotto</w:t>
            </w:r>
          </w:p>
        </w:tc>
        <w:tc>
          <w:tcPr/>
          <w:p>
            <w:pPr>
              <w:pStyle w:val="Compact"/>
            </w:pPr>
            <w:r>
              <w:t xml:space="preserve">Articoli (Items), distinte base (BillOfMaterials), varianti/unità di misura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verso Esyy Flow</w:t>
            </w:r>
            <w:r>
              <w:t xml:space="preserve"> </w:t>
            </w:r>
            <w:r>
              <w:t xml:space="preserve">(dal Service Layer)</w:t>
            </w:r>
          </w:p>
        </w:tc>
        <w:tc>
          <w:tcPr/>
          <w:p>
            <w:pPr>
              <w:pStyle w:val="Compact"/>
            </w:pPr>
            <w:r>
              <w:t xml:space="preserve">Esyy Flow utilizza anagrafiche di prodotti e BOM per pianificare e tracciare la produzione. L’import periodico riduce la duplicazione. L’export verso SAP è escluso in V1.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 Partner</w:t>
            </w:r>
          </w:p>
        </w:tc>
        <w:tc>
          <w:tcPr/>
          <w:p>
            <w:pPr>
              <w:pStyle w:val="Compact"/>
            </w:pPr>
            <w:r>
              <w:t xml:space="preserve">Clienti e fornitori (BusinessPartners), eventuali contatti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verso Esyy Flow</w:t>
            </w:r>
          </w:p>
        </w:tc>
        <w:tc>
          <w:tcPr/>
          <w:p>
            <w:pPr>
              <w:pStyle w:val="Compact"/>
            </w:pPr>
            <w:r>
              <w:t xml:space="preserve">Necessari per associare ordini di vendita, conto lavoro e movimenti. Non è previsto l’export perché la gestione anagrafiche resta centralizzata in SAP.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vendita (MTO)</w:t>
            </w:r>
          </w:p>
        </w:tc>
        <w:tc>
          <w:tcPr/>
          <w:p>
            <w:pPr>
              <w:pStyle w:val="Compact"/>
            </w:pPr>
            <w:r>
              <w:t xml:space="preserve">SalesOrders (documento</w:t>
            </w:r>
            <w:r>
              <w:t xml:space="preserve"> </w:t>
            </w:r>
            <w:r>
              <w:rPr>
                <w:b/>
                <w:bCs/>
              </w:rPr>
              <w:t xml:space="preserve">Orders</w:t>
            </w:r>
            <w:r>
              <w:t xml:space="preserve">, tipo</w:t>
            </w:r>
            <w:r>
              <w:t xml:space="preserve"> </w:t>
            </w:r>
            <w:r>
              <w:rPr>
                <w:rStyle w:val="VerbatimChar"/>
              </w:rPr>
              <w:t xml:space="preserve">17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  <w:r>
              <w:t xml:space="preserve">; eventuale</w:t>
            </w:r>
            <w:r>
              <w:t xml:space="preserve"> </w:t>
            </w:r>
            <w:r>
              <w:rPr>
                <w:b/>
                <w:bCs/>
              </w:rPr>
              <w:t xml:space="preserve">export</w:t>
            </w:r>
            <w:r>
              <w:t xml:space="preserve"> </w:t>
            </w:r>
            <w:r>
              <w:t xml:space="preserve">dello stato di avanzamento</w:t>
            </w:r>
          </w:p>
        </w:tc>
        <w:tc>
          <w:tcPr/>
          <w:p>
            <w:pPr>
              <w:pStyle w:val="Compact"/>
            </w:pPr>
            <w:r>
              <w:t xml:space="preserve">Esyy Flow deve ricevere ordini di vendita da evadere. Eventualmente invierà a SAP solo lo stato/progresso (es. completamento produzione) in un secondo momento.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produzione</w:t>
            </w:r>
          </w:p>
        </w:tc>
        <w:tc>
          <w:tcPr/>
          <w:p>
            <w:pPr>
              <w:pStyle w:val="Compact"/>
            </w:pPr>
            <w:r>
              <w:t xml:space="preserve">ProductionOrders (object</w:t>
            </w:r>
            <w:r>
              <w:t xml:space="preserve"> </w:t>
            </w:r>
            <w:r>
              <w:rPr>
                <w:b/>
                <w:bCs/>
              </w:rPr>
              <w:t xml:space="preserve">ProductionOrders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Bidirezionale</w:t>
            </w:r>
          </w:p>
        </w:tc>
        <w:tc>
          <w:tcPr/>
          <w:p>
            <w:pPr>
              <w:pStyle w:val="Compact"/>
            </w:pPr>
            <w:r>
              <w:t xml:space="preserve">Esyy Flow può generare ordini di produzione derivati dagli ordini di vendita o modificare ordini esistenti. È necessario importare ordini creati in SAP e consentire l’export degli ordini creati/modificati dall’app.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Movimenti di magazzino</w:t>
            </w:r>
          </w:p>
        </w:tc>
        <w:tc>
          <w:tcPr/>
          <w:p>
            <w:pPr>
              <w:pStyle w:val="Compact"/>
            </w:pPr>
            <w:r>
              <w:t xml:space="preserve">GoodsIssue, GoodsReceipt, InventoryTransferRequests, InventoryTransfers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verso ERP</w:t>
            </w:r>
          </w:p>
        </w:tc>
        <w:tc>
          <w:tcPr/>
          <w:p>
            <w:pPr>
              <w:pStyle w:val="Compact"/>
            </w:pPr>
            <w:r>
              <w:t xml:space="preserve">Esyy Flow registra consumi e produzioni a livello MES; i movimenti devono essere trasferiti a SAP come documenti di magazzino. L’import non è previsto salvo per stock iniziali.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 lavoro</w:t>
            </w:r>
          </w:p>
        </w:tc>
        <w:tc>
          <w:tcPr/>
          <w:p>
            <w:pPr>
              <w:pStyle w:val="Compact"/>
            </w:pPr>
            <w:r>
              <w:t xml:space="preserve">Documenti conto lavoro (subcontracting) come ProductionOrders con tipo</w:t>
            </w:r>
            <w:r>
              <w:t xml:space="preserve"> </w:t>
            </w:r>
            <w:r>
              <w:rPr>
                <w:b/>
                <w:bCs/>
              </w:rPr>
              <w:t xml:space="preserve">outsourced</w:t>
            </w:r>
            <w:r>
              <w:t xml:space="preserve">, movimenti di invio/ritorno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Bidirezionale</w:t>
            </w:r>
            <w:r>
              <w:t xml:space="preserve">, ma in V1 solo</w:t>
            </w:r>
            <w:r>
              <w:t xml:space="preserve"> </w:t>
            </w:r>
            <w:r>
              <w:rPr>
                <w:b/>
                <w:bCs/>
              </w:rPr>
              <w:t xml:space="preserve">export</w:t>
            </w:r>
            <w:r>
              <w:t xml:space="preserve"> </w:t>
            </w:r>
            <w:r>
              <w:t xml:space="preserve">di movimenti</w:t>
            </w:r>
          </w:p>
        </w:tc>
        <w:tc>
          <w:tcPr/>
          <w:p>
            <w:pPr>
              <w:pStyle w:val="Compact"/>
            </w:pPr>
            <w:r>
              <w:t xml:space="preserve">In V1 si esportano a SAP i documenti di invio e reso conto lavoro; l’import di ordini conto lavoro da SAP può essere posticipato.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tenant/processo</w:t>
            </w:r>
          </w:p>
        </w:tc>
        <w:tc>
          <w:tcPr/>
          <w:p>
            <w:pPr>
              <w:pStyle w:val="Compact"/>
            </w:pPr>
            <w:r>
              <w:t xml:space="preserve">Dati iniziali (liste di magazzini, tipologie articoli, UoM, centri di costo)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  <w:r>
              <w:t xml:space="preserve"> </w:t>
            </w:r>
            <w:r>
              <w:t xml:space="preserve">(una tantum)</w:t>
            </w:r>
          </w:p>
        </w:tc>
        <w:tc>
          <w:tcPr/>
          <w:p>
            <w:pPr>
              <w:pStyle w:val="Compact"/>
            </w:pPr>
            <w:r>
              <w:t xml:space="preserve">Necessari per la configurazione del nuovo tenant. Può essere implementato tramite import batch; non necessita di sincronizzazione continua.</w:t>
            </w:r>
          </w:p>
        </w:tc>
      </w:tr>
    </w:tbl>
    <w:bookmarkStart w:id="27" w:name="flussi-non-inclusi-in-v1-placeholder"/>
    <w:p>
      <w:pPr>
        <w:pStyle w:val="Heading3"/>
      </w:pPr>
      <w:r>
        <w:t xml:space="preserve">Flussi non inclusi in V1 (placeholder)</w:t>
      </w:r>
    </w:p>
    <w:p>
      <w:pPr>
        <w:pStyle w:val="Compact"/>
        <w:numPr>
          <w:ilvl w:val="0"/>
          <w:numId w:val="1001"/>
        </w:numPr>
      </w:pPr>
      <w:r>
        <w:t xml:space="preserve">Documenti finanziari (fatture, pagamenti).</w:t>
      </w:r>
    </w:p>
    <w:p>
      <w:pPr>
        <w:pStyle w:val="Compact"/>
        <w:numPr>
          <w:ilvl w:val="0"/>
          <w:numId w:val="1001"/>
        </w:numPr>
      </w:pPr>
      <w:r>
        <w:t xml:space="preserve">Gestione lotti e seriali avanzata (può essere implementata successivamente).</w:t>
      </w:r>
    </w:p>
    <w:p>
      <w:pPr>
        <w:pStyle w:val="Compact"/>
        <w:numPr>
          <w:ilvl w:val="0"/>
          <w:numId w:val="1001"/>
        </w:numPr>
      </w:pPr>
      <w:r>
        <w:t xml:space="preserve">Webhook real‑time per tutti i cambi dati (si usa import/export periodico).</w:t>
      </w:r>
    </w:p>
    <w:p>
      <w:pPr>
        <w:pStyle w:val="Compact"/>
        <w:numPr>
          <w:ilvl w:val="0"/>
          <w:numId w:val="1001"/>
        </w:numPr>
      </w:pPr>
      <w:r>
        <w:t xml:space="preserve">Integrazione con moduli HR/salari o CRM.</w:t>
      </w:r>
    </w:p>
    <w:bookmarkEnd w:id="27"/>
    <w:bookmarkEnd w:id="28"/>
    <w:bookmarkStart w:id="30" w:name="tecnologie-candidate-per-dominio"/>
    <w:p>
      <w:pPr>
        <w:pStyle w:val="Heading2"/>
      </w:pPr>
      <w:r>
        <w:t xml:space="preserve">Tecnologie candidate per dominio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 di integrazione</w:t>
            </w:r>
          </w:p>
        </w:tc>
        <w:tc>
          <w:tcPr/>
          <w:p>
            <w:pPr>
              <w:pStyle w:val="Compact"/>
            </w:pPr>
            <w:r>
              <w:t xml:space="preserve">Tecnologia candidata</w:t>
            </w:r>
          </w:p>
        </w:tc>
        <w:tc>
          <w:tcPr/>
          <w:p>
            <w:pPr>
              <w:pStyle w:val="Compact"/>
            </w:pPr>
            <w:r>
              <w:t xml:space="preserve">Motivazione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Anagrafiche prodotto &amp; Business Partner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 Layer (OData v4)</w:t>
            </w:r>
          </w:p>
        </w:tc>
        <w:tc>
          <w:tcPr/>
          <w:p>
            <w:pPr>
              <w:pStyle w:val="Compact"/>
            </w:pPr>
            <w:r>
              <w:t xml:space="preserve">Espone entità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BillOfMaterials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BusinessPartners</w:t>
            </w:r>
            <w:r>
              <w:t xml:space="preserve"> </w:t>
            </w:r>
            <w:r>
              <w:t xml:space="preserve">con operazioni di lettura. Supporta filtri e selezioni OData; i dati sono consumabili tramite chiamate HTTP/JSON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L’utilizzo del Service Layer evita l’installazione di componenti COM e permette schedulazioni su infrastruttura cloud.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vendita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 Layer</w:t>
            </w:r>
            <w:r>
              <w:t xml:space="preserve"> </w:t>
            </w:r>
            <w:r>
              <w:t xml:space="preserve">per import; eventuale</w:t>
            </w:r>
            <w:r>
              <w:t xml:space="preserve"> </w:t>
            </w:r>
            <w:r>
              <w:rPr>
                <w:b/>
                <w:bCs/>
              </w:rPr>
              <w:t xml:space="preserve">DI API</w:t>
            </w:r>
            <w:r>
              <w:t xml:space="preserve"> </w:t>
            </w:r>
            <w:r>
              <w:t xml:space="preserve">per export di eventi complessi</w:t>
            </w:r>
          </w:p>
        </w:tc>
        <w:tc>
          <w:tcPr/>
          <w:p>
            <w:pPr>
              <w:pStyle w:val="Compact"/>
            </w:pPr>
            <w:r>
              <w:t xml:space="preserve">Gli ordini (entità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) sono disponibili via OData. L’esportazione dello stato di avanzamento può essere implementata con Service Layer, ma se servono transazioni massicce o funzioni non supportate (ad es. calcolo tasse) si può valutare il DI 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produzione e conto lavoro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 Layer</w:t>
            </w:r>
            <w:r>
              <w:t xml:space="preserve">, con fallback</w:t>
            </w:r>
            <w:r>
              <w:t xml:space="preserve"> </w:t>
            </w:r>
            <w:r>
              <w:rPr>
                <w:b/>
                <w:bCs/>
              </w:rPr>
              <w:t xml:space="preserve">DI API</w:t>
            </w:r>
            <w:r>
              <w:t xml:space="preserve"> </w:t>
            </w:r>
            <w:r>
              <w:t xml:space="preserve">per funzioni non supportate</w:t>
            </w:r>
          </w:p>
        </w:tc>
        <w:tc>
          <w:tcPr/>
          <w:p>
            <w:pPr>
              <w:pStyle w:val="Compact"/>
            </w:pPr>
            <w:r>
              <w:t xml:space="preserve">Il Service Layer espone l’entità</w:t>
            </w:r>
            <w:r>
              <w:t xml:space="preserve"> </w:t>
            </w:r>
            <w:r>
              <w:rPr>
                <w:rStyle w:val="VerbatimChar"/>
              </w:rPr>
              <w:t xml:space="preserve">ProductionOrders</w:t>
            </w:r>
            <w:r>
              <w:t xml:space="preserve"> </w:t>
            </w:r>
            <w:r>
              <w:t xml:space="preserve">e permette CRUD. Tuttavia alcune funzioni come rilascio massivo o gestione di ordini conto lavoro potrebbero non essere coperte; in tal caso si può ricorrere al DI 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Movimenti di magazzino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 Layer</w:t>
            </w:r>
          </w:p>
        </w:tc>
        <w:tc>
          <w:tcPr/>
          <w:p>
            <w:pPr>
              <w:pStyle w:val="Compact"/>
            </w:pPr>
            <w:r>
              <w:t xml:space="preserve">Le entità</w:t>
            </w:r>
            <w:r>
              <w:t xml:space="preserve"> </w:t>
            </w:r>
            <w:r>
              <w:rPr>
                <w:rStyle w:val="VerbatimChar"/>
              </w:rPr>
              <w:t xml:space="preserve">InventoryGenEntries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InventoryGenExits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InventoryTransferRequests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InventoryTransfers</w:t>
            </w:r>
            <w:r>
              <w:t xml:space="preserve"> </w:t>
            </w:r>
            <w:r>
              <w:t xml:space="preserve">consentono la registrazione di movimenti. Poiché i movimenti saranno generati da Esyy Flow, l’uso di Service Layer OData è sufficiente; il DI API non è necessario.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tenant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 Layer</w:t>
            </w:r>
            <w:r>
              <w:t xml:space="preserve"> </w:t>
            </w:r>
            <w:r>
              <w:t xml:space="preserve">con esportazione a file CSV/JSON</w:t>
            </w:r>
          </w:p>
        </w:tc>
        <w:tc>
          <w:tcPr/>
          <w:p>
            <w:pPr>
              <w:pStyle w:val="Compact"/>
            </w:pPr>
            <w:r>
              <w:t xml:space="preserve">I dati (magazzini, unità di misura, tabelle di configurazione) sono disponibili via Service Layer e possono essere importati una tantum.</w:t>
            </w:r>
          </w:p>
        </w:tc>
      </w:tr>
    </w:tbl>
    <w:bookmarkStart w:id="29" w:name="motivazione-generale-della-scelta"/>
    <w:p>
      <w:pPr>
        <w:pStyle w:val="Heading3"/>
      </w:pPr>
      <w:r>
        <w:t xml:space="preserve">Motivazione generale della scelta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 Layer</w:t>
      </w:r>
      <w:r>
        <w:t xml:space="preserve">: adotta un’architettura REST/OData su HTTP che consente la fruizione da ambienti cloud e linguaggi moderni. La documentazione sottolinea che il Service Layer «fornisce un modo uniforme per esporre oggetti di business completi su un server Web altamente scalabile»</w:t>
      </w:r>
      <w:hyperlink r:id="rId21">
        <w:r>
          <w:rPr>
            <w:rStyle w:val="Hyperlink"/>
          </w:rPr>
          <w:t xml:space="preserve">[1]</w:t>
        </w:r>
      </w:hyperlink>
      <w:r>
        <w:t xml:space="preserve">. Supporta OData v3 (per retrocompatibilità) e OData v4, con preferenza per quest’ultima</w:t>
      </w:r>
      <w:hyperlink r:id="rId23">
        <w:r>
          <w:rPr>
            <w:rStyle w:val="Hyperlink"/>
          </w:rPr>
          <w:t xml:space="preserve">[3]</w:t>
        </w:r>
      </w:hyperlink>
      <w:r>
        <w:t xml:space="preserve">. Il Service Layer riutilizza il DI Core e quindi gli oggetti e le proprietà sono identici a quelli del DI API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 API</w:t>
      </w:r>
      <w:r>
        <w:t xml:space="preserve">: libreria COM che richiede ambienti Windows e installazione dell’SDK. È adatto per operazioni transazionali complesse o non supportate dal Service Layer. I materiali formativi indicano che per utilizzare il DI API occorre aggiungere un riferimento alla libreria COM “SAP Business One DI API” in un progetto Visual Studio</w:t>
      </w:r>
      <w:hyperlink r:id="rId25">
        <w:r>
          <w:rPr>
            <w:rStyle w:val="Hyperlink"/>
          </w:rPr>
          <w:t xml:space="preserve">[5]</w:t>
        </w:r>
      </w:hyperlink>
      <w:r>
        <w:t xml:space="preserve">. Per questo motivo il DI API verrà usato solo quando il Service Layer non copre le funzioni necessarie.</w:t>
      </w:r>
    </w:p>
    <w:bookmarkEnd w:id="29"/>
    <w:bookmarkEnd w:id="30"/>
    <w:bookmarkStart w:id="31" w:name="X2dc2ad6dcf97ab2c39da1d78f26f2e6a829707d"/>
    <w:p>
      <w:pPr>
        <w:pStyle w:val="Heading2"/>
      </w:pPr>
      <w:r>
        <w:t xml:space="preserve">Oggetti e API SAP Business One da investigare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Oggetti Service Layer (OData v4) / API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Anagrafiche prodotto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UoMGroups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BillOfMaterials</w:t>
            </w:r>
          </w:p>
        </w:tc>
        <w:tc>
          <w:tcPr/>
          <w:p>
            <w:pPr>
              <w:pStyle w:val="Compact"/>
            </w:pPr>
            <w:r>
              <w:t xml:space="preserve">Verificare se la struttura delle distinte base supporta modelli multi‑livello.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 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BusinessPartnerGroups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Addresses</w:t>
            </w:r>
          </w:p>
        </w:tc>
        <w:tc>
          <w:tcPr/>
          <w:p>
            <w:pPr>
              <w:pStyle w:val="Compact"/>
            </w:pPr>
            <w:r>
              <w:t xml:space="preserve">Importare solo BP rilevanti per produzione e conto lavoro; gestire diversi tipi (cliente, fornitore).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vendita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(document type 17) con</w:t>
            </w:r>
            <w:r>
              <w:t xml:space="preserve"> </w:t>
            </w:r>
            <w:r>
              <w:rPr>
                <w:rStyle w:val="VerbatimChar"/>
              </w:rPr>
              <w:t xml:space="preserve">DocumentLines</w:t>
            </w:r>
            <w:r>
              <w:t xml:space="preserve">; controllare azioni di rilascio (via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action)</w:t>
            </w:r>
          </w:p>
        </w:tc>
        <w:tc>
          <w:tcPr/>
          <w:p>
            <w:pPr>
              <w:pStyle w:val="Compact"/>
            </w:pPr>
            <w:r>
              <w:t xml:space="preserve">Verificare le azioni OData per confermare e chiudere ordini.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produzione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ProductionOrders</w:t>
            </w:r>
            <w:r>
              <w:t xml:space="preserve"> </w:t>
            </w:r>
            <w:r>
              <w:t xml:space="preserve">con proprietà</w:t>
            </w:r>
            <w:r>
              <w:t xml:space="preserve"> </w:t>
            </w:r>
            <w:r>
              <w:rPr>
                <w:rStyle w:val="VerbatimChar"/>
              </w:rPr>
              <w:t xml:space="preserve">ProductionOrderLines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Stages</w:t>
            </w:r>
            <w:r>
              <w:t xml:space="preserve">; service</w:t>
            </w:r>
            <w:r>
              <w:t xml:space="preserve"> </w:t>
            </w:r>
            <w:r>
              <w:rPr>
                <w:rStyle w:val="VerbatimChar"/>
              </w:rPr>
              <w:t xml:space="preserve">ProductionOrdersService</w:t>
            </w:r>
            <w:r>
              <w:t xml:space="preserve"> </w:t>
            </w:r>
            <w:r>
              <w:t xml:space="preserve">per rilascio/chiusura</w:t>
            </w:r>
          </w:p>
        </w:tc>
        <w:tc>
          <w:tcPr/>
          <w:p>
            <w:pPr>
              <w:pStyle w:val="Compact"/>
            </w:pPr>
            <w:r>
              <w:t xml:space="preserve">Esplorare anche azioni per rilascio di ordini (es.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) e campi conto lavoro.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Movimenti di magazzino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InventoryGenEntries</w:t>
            </w:r>
            <w:r>
              <w:t xml:space="preserve"> </w:t>
            </w:r>
            <w:r>
              <w:t xml:space="preserve">(carico),</w:t>
            </w:r>
            <w:r>
              <w:t xml:space="preserve"> </w:t>
            </w:r>
            <w:r>
              <w:rPr>
                <w:rStyle w:val="VerbatimChar"/>
              </w:rPr>
              <w:t xml:space="preserve">InventoryGenExits</w:t>
            </w:r>
            <w:r>
              <w:t xml:space="preserve"> </w:t>
            </w:r>
            <w:r>
              <w:t xml:space="preserve">(scarico),</w:t>
            </w:r>
            <w:r>
              <w:t xml:space="preserve"> </w:t>
            </w:r>
            <w:r>
              <w:rPr>
                <w:rStyle w:val="VerbatimChar"/>
              </w:rPr>
              <w:t xml:space="preserve">InventoryTransferRequests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BinLocations</w:t>
            </w:r>
          </w:p>
        </w:tc>
        <w:tc>
          <w:tcPr/>
          <w:p>
            <w:pPr>
              <w:pStyle w:val="Compact"/>
            </w:pPr>
            <w:r>
              <w:t xml:space="preserve">Verificare la possibilità di valorizzare campi come magazzino, ubicazioni, lotti/seriali.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 lavoro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ProductionOrders</w:t>
            </w:r>
            <w:r>
              <w:t xml:space="preserve"> </w:t>
            </w:r>
            <w:r>
              <w:t xml:space="preserve">con tipo</w:t>
            </w:r>
            <w:r>
              <w:t xml:space="preserve"> </w:t>
            </w:r>
            <w:r>
              <w:rPr>
                <w:i/>
                <w:iCs/>
              </w:rPr>
              <w:t xml:space="preserve">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InventoryTransferRequests</w:t>
            </w:r>
            <w:r>
              <w:t xml:space="preserve">/</w:t>
            </w:r>
            <w:r>
              <w:rPr>
                <w:rStyle w:val="VerbatimChar"/>
              </w:rPr>
              <w:t xml:space="preserve">Transfers</w:t>
            </w:r>
            <w:r>
              <w:t xml:space="preserve"> </w:t>
            </w:r>
            <w:r>
              <w:t xml:space="preserve">per invio e ricezione materiale,</w:t>
            </w:r>
            <w:r>
              <w:t xml:space="preserve"> </w:t>
            </w:r>
            <w:r>
              <w:rPr>
                <w:rStyle w:val="VerbatimChar"/>
              </w:rPr>
              <w:t xml:space="preserve">PurchaseOrders</w:t>
            </w:r>
            <w:r>
              <w:t xml:space="preserve"> </w:t>
            </w:r>
            <w:r>
              <w:t xml:space="preserve">nel caso si gestisca il conto lavoro come acquisto</w:t>
            </w:r>
          </w:p>
        </w:tc>
        <w:tc>
          <w:tcPr/>
          <w:p>
            <w:pPr>
              <w:pStyle w:val="Compact"/>
            </w:pPr>
            <w:r>
              <w:t xml:space="preserve">Esaminare se il Service Layer supporta eventi di conto lavoro; in alternativa usare il DI 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WorkCenters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UoMGroups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BusinessPartners</w:t>
            </w:r>
          </w:p>
        </w:tc>
        <w:tc>
          <w:tcPr/>
          <w:p>
            <w:pPr>
              <w:pStyle w:val="Compact"/>
            </w:pPr>
            <w:r>
              <w:t xml:space="preserve">Alcuni oggetti non standard (es. centri di lavoro) possono essere gestiti tramite User‑Defined Objects (UDO) esposti dal Service Layer.</w:t>
            </w:r>
          </w:p>
        </w:tc>
      </w:tr>
    </w:tbl>
    <w:bookmarkEnd w:id="31"/>
    <w:bookmarkStart w:id="32" w:name="Xf309f5f8c6e7817da2a3ded34b875ae69d931f3"/>
    <w:p>
      <w:pPr>
        <w:pStyle w:val="Heading2"/>
      </w:pPr>
      <w:r>
        <w:t xml:space="preserve">Chiavi di riconciliazione e riferimenti esterni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Identificativi ERP rilevanti</w:t>
            </w:r>
          </w:p>
        </w:tc>
        <w:tc>
          <w:tcPr/>
          <w:p>
            <w:pPr>
              <w:pStyle w:val="Compact"/>
            </w:pPr>
            <w:r>
              <w:t xml:space="preserve">Chiavi esterne / criteri di allineamento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Anagrafiche prodotto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ItemCode</w:t>
            </w:r>
            <w:r>
              <w:t xml:space="preserve"> </w:t>
            </w:r>
            <w:r>
              <w:t xml:space="preserve">come chiave primaria;</w:t>
            </w:r>
            <w:r>
              <w:t xml:space="preserve"> </w:t>
            </w:r>
            <w:r>
              <w:rPr>
                <w:rStyle w:val="VerbatimChar"/>
              </w:rPr>
              <w:t xml:space="preserve">ItemName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UoMGroupEntry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ForeignName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CodeBars</w:t>
            </w:r>
          </w:p>
        </w:tc>
        <w:tc>
          <w:tcPr/>
          <w:p>
            <w:pPr>
              <w:pStyle w:val="Compact"/>
            </w:pPr>
            <w:r>
              <w:t xml:space="preserve">In Esyy Flow ogni articolo sarà mappato sul campo</w:t>
            </w:r>
            <w:r>
              <w:t xml:space="preserve"> </w:t>
            </w:r>
            <w:r>
              <w:rPr>
                <w:rStyle w:val="VerbatimChar"/>
              </w:rPr>
              <w:t xml:space="preserve">ItemCode</w:t>
            </w:r>
            <w:r>
              <w:t xml:space="preserve">. Creare un campo “externalId” nel dominio prodotto per salvare</w:t>
            </w:r>
            <w:r>
              <w:t xml:space="preserve"> </w:t>
            </w:r>
            <w:r>
              <w:rPr>
                <w:rStyle w:val="VerbatimChar"/>
              </w:rPr>
              <w:t xml:space="preserve">ItemCode</w:t>
            </w:r>
            <w:r>
              <w:t xml:space="preserve">. Le revisioni di distinte base devono includere la</w:t>
            </w:r>
            <w:r>
              <w:t xml:space="preserve"> </w:t>
            </w:r>
            <w:r>
              <w:rPr>
                <w:rStyle w:val="VerbatimChar"/>
              </w:rPr>
              <w:t xml:space="preserve">ItemCode</w:t>
            </w:r>
            <w:r>
              <w:t xml:space="preserve"> </w:t>
            </w:r>
            <w:r>
              <w:t xml:space="preserve">del prodotto padre.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 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CardCode</w:t>
            </w:r>
            <w:r>
              <w:t xml:space="preserve"> </w:t>
            </w:r>
            <w:r>
              <w:t xml:space="preserve">come chiave ERP;</w:t>
            </w:r>
            <w:r>
              <w:t xml:space="preserve"> </w:t>
            </w:r>
            <w:r>
              <w:rPr>
                <w:rStyle w:val="VerbatimChar"/>
              </w:rPr>
              <w:t xml:space="preserve">CardName</w:t>
            </w:r>
            <w:r>
              <w:t xml:space="preserve">; tipo (</w:t>
            </w:r>
            <w:r>
              <w:rPr>
                <w:rStyle w:val="VerbatimChar"/>
              </w:rPr>
              <w:t xml:space="preserve">CardType</w:t>
            </w:r>
            <w:r>
              <w:t xml:space="preserve">: C/F/L)</w:t>
            </w:r>
          </w:p>
        </w:tc>
        <w:tc>
          <w:tcPr/>
          <w:p>
            <w:pPr>
              <w:pStyle w:val="Compact"/>
            </w:pPr>
            <w:r>
              <w:t xml:space="preserve">Associare</w:t>
            </w:r>
            <w:r>
              <w:t xml:space="preserve"> </w:t>
            </w:r>
            <w:r>
              <w:rPr>
                <w:rStyle w:val="VerbatimChar"/>
              </w:rPr>
              <w:t xml:space="preserve">CardCode</w:t>
            </w:r>
            <w:r>
              <w:t xml:space="preserve"> </w:t>
            </w:r>
            <w:r>
              <w:t xml:space="preserve">al record di cliente/fornitore di Esyy Flow. Conservare il tipo per distinguere clienti e fornitori.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vendita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(chiave interna),</w:t>
            </w:r>
            <w:r>
              <w:t xml:space="preserve"> </w:t>
            </w:r>
            <w:r>
              <w:rPr>
                <w:rStyle w:val="VerbatimChar"/>
              </w:rPr>
              <w:t xml:space="preserve">DocNum</w:t>
            </w:r>
            <w:r>
              <w:t xml:space="preserve"> </w:t>
            </w:r>
            <w:r>
              <w:t xml:space="preserve">(numero documento),</w:t>
            </w:r>
            <w:r>
              <w:t xml:space="preserve"> </w:t>
            </w:r>
            <w:r>
              <w:rPr>
                <w:rStyle w:val="VerbatimChar"/>
              </w:rPr>
              <w:t xml:space="preserve">CardCode</w:t>
            </w:r>
            <w:r>
              <w:t xml:space="preserve"> </w:t>
            </w: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L’import deve salvare sia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sia</w:t>
            </w:r>
            <w:r>
              <w:t xml:space="preserve"> </w:t>
            </w:r>
            <w:r>
              <w:rPr>
                <w:rStyle w:val="VerbatimChar"/>
              </w:rPr>
              <w:t xml:space="preserve">DocNum</w:t>
            </w:r>
            <w:r>
              <w:t xml:space="preserve">. Le righe devono mantenere</w:t>
            </w:r>
            <w:r>
              <w:t xml:space="preserve"> </w:t>
            </w:r>
            <w:r>
              <w:rPr>
                <w:rStyle w:val="VerbatimChar"/>
              </w:rPr>
              <w:t xml:space="preserve">LineNum</w:t>
            </w:r>
            <w:r>
              <w:t xml:space="preserve"> </w:t>
            </w:r>
            <w:r>
              <w:t xml:space="preserve">per riconciliazione.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di produzione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AbsoluteEntry</w:t>
            </w:r>
            <w:r>
              <w:t xml:space="preserve"> </w:t>
            </w:r>
            <w:r>
              <w:t xml:space="preserve">(DocEntry di produzione),</w:t>
            </w:r>
            <w:r>
              <w:t xml:space="preserve"> </w:t>
            </w:r>
            <w:r>
              <w:rPr>
                <w:rStyle w:val="VerbatimChar"/>
              </w:rPr>
              <w:t xml:space="preserve">OrderType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ParentAbsEntry</w:t>
            </w:r>
            <w:r>
              <w:t xml:space="preserve"> </w:t>
            </w:r>
            <w:r>
              <w:t xml:space="preserve">per legami multi‑livello</w:t>
            </w:r>
          </w:p>
        </w:tc>
        <w:tc>
          <w:tcPr/>
          <w:p>
            <w:pPr>
              <w:pStyle w:val="Compact"/>
            </w:pPr>
            <w:r>
              <w:t xml:space="preserve">Utilizzare</w:t>
            </w:r>
            <w:r>
              <w:t xml:space="preserve"> </w:t>
            </w:r>
            <w:r>
              <w:rPr>
                <w:rStyle w:val="VerbatimChar"/>
              </w:rPr>
              <w:t xml:space="preserve">AbsoluteEntry</w:t>
            </w:r>
            <w:r>
              <w:t xml:space="preserve"> </w:t>
            </w:r>
            <w:r>
              <w:t xml:space="preserve">come chiave; generare in Esyy Flow un UUID e memorizzare la chiave ERP.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Movimenti di magazzino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BaseEntry</w:t>
            </w:r>
            <w:r>
              <w:t xml:space="preserve">/</w:t>
            </w:r>
            <w:r>
              <w:rPr>
                <w:rStyle w:val="VerbatimChar"/>
              </w:rPr>
              <w:t xml:space="preserve">BaseLine</w:t>
            </w:r>
            <w:r>
              <w:t xml:space="preserve"> </w:t>
            </w:r>
            <w:r>
              <w:t xml:space="preserve">per movimenti derivati</w:t>
            </w:r>
          </w:p>
        </w:tc>
        <w:tc>
          <w:tcPr/>
          <w:p>
            <w:pPr>
              <w:pStyle w:val="Compact"/>
            </w:pPr>
            <w:r>
              <w:t xml:space="preserve">I movimenti esportati devono includere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di origine (es. Ordine di produzione) per riconciliazione.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 lavoro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dell’ordine di produzione conto lavoro,</w:t>
            </w:r>
            <w:r>
              <w:t xml:space="preserve"> </w:t>
            </w:r>
            <w:r>
              <w:rPr>
                <w:rStyle w:val="VerbatimChar"/>
              </w:rPr>
              <w:t xml:space="preserve">CardCode</w:t>
            </w:r>
            <w:r>
              <w:t xml:space="preserve"> </w:t>
            </w:r>
            <w:r>
              <w:t xml:space="preserve">fornitore,</w:t>
            </w:r>
            <w:r>
              <w:t xml:space="preserve"> </w:t>
            </w:r>
            <w:r>
              <w:rPr>
                <w:rStyle w:val="VerbatimChar"/>
              </w:rPr>
              <w:t xml:space="preserve">ItemCode</w:t>
            </w:r>
            <w:r>
              <w:t xml:space="preserve"> </w:t>
            </w:r>
            <w:r>
              <w:t xml:space="preserve">prodotto</w:t>
            </w:r>
          </w:p>
        </w:tc>
        <w:tc>
          <w:tcPr/>
          <w:p>
            <w:pPr>
              <w:pStyle w:val="Compact"/>
            </w:pPr>
            <w:r>
              <w:t xml:space="preserve">Gli invii e resi devono includere il riferimento al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del conto lavoro e ai documenti di trasferimento.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WhsCode</w:t>
            </w:r>
            <w:r>
              <w:t xml:space="preserve"> </w:t>
            </w:r>
            <w:r>
              <w:t xml:space="preserve">per magazzini,</w:t>
            </w:r>
            <w:r>
              <w:t xml:space="preserve"> </w:t>
            </w:r>
            <w:r>
              <w:rPr>
                <w:rStyle w:val="VerbatimChar"/>
              </w:rPr>
              <w:t xml:space="preserve">WorkCenterCode</w:t>
            </w:r>
            <w:r>
              <w:t xml:space="preserve"> </w:t>
            </w:r>
            <w:r>
              <w:t xml:space="preserve">per centri di lavoro (UDO),</w:t>
            </w:r>
            <w:r>
              <w:t xml:space="preserve"> </w:t>
            </w:r>
            <w:r>
              <w:rPr>
                <w:rStyle w:val="VerbatimChar"/>
              </w:rPr>
              <w:t xml:space="preserve">UoMCode</w:t>
            </w:r>
          </w:p>
        </w:tc>
        <w:tc>
          <w:tcPr/>
          <w:p>
            <w:pPr>
              <w:pStyle w:val="Compact"/>
            </w:pPr>
            <w:r>
              <w:t xml:space="preserve">Mantenere corrispondenze nella configurazione tenant.</w:t>
            </w:r>
          </w:p>
        </w:tc>
      </w:tr>
    </w:tbl>
    <w:bookmarkEnd w:id="32"/>
    <w:bookmarkStart w:id="34" w:name="vincoli-e-rischi-tecnici"/>
    <w:p>
      <w:pPr>
        <w:pStyle w:val="Heading2"/>
      </w:pPr>
      <w:r>
        <w:t xml:space="preserve">Vincoli e rischi tecnici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Dipendenza dalla versione SAP</w:t>
      </w:r>
      <w:r>
        <w:t xml:space="preserve"> </w:t>
      </w:r>
      <w:r>
        <w:t xml:space="preserve">– Il Service Layer è disponibile in SAP Business One per HANA e, dalle versioni 10.0 PL01, anche per SQL Server. L’uso di OData v4 è consigliato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ma richiede versioni aggiornate; aziende su release &lt; 10.0 potrebbero usare solo OData v3. OData v3 è deprecato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Copertura funzionale</w:t>
      </w:r>
      <w:r>
        <w:t xml:space="preserve"> </w:t>
      </w:r>
      <w:r>
        <w:t xml:space="preserve">– Alcuni moduli (es. add‑on verticali, campi UDO complessi) potrebbero non essere esposti dal Service Layer; in tali casi occorrerà il DI API o un’integrazione via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e volumi</w:t>
      </w:r>
      <w:r>
        <w:t xml:space="preserve"> </w:t>
      </w:r>
      <w:r>
        <w:t xml:space="preserve">– Il Service Layer opera tramite HTTP; per grandi volumi i tempi possono essere superiori alle chiamate COM. Tuttavia esempi reali indicano un netto miglioramento rispetto al DI API, con riduzione da ore a minuti</w:t>
      </w:r>
      <w:hyperlink r:id="rId33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management</w:t>
      </w:r>
      <w:r>
        <w:t xml:space="preserve"> </w:t>
      </w:r>
      <w:r>
        <w:t xml:space="preserve">– Ogni chiamata al Service Layer richiede autenticazione e sessione; occorre gestire il token e la sua scadenza. La guida ufficiale descrive l’utilizzo di</w:t>
      </w:r>
      <w:r>
        <w:t xml:space="preserve"> </w:t>
      </w:r>
      <w:r>
        <w:rPr>
          <w:rStyle w:val="VerbatimChar"/>
        </w:rPr>
        <w:t xml:space="preserve">/b1s/v1</w:t>
      </w:r>
      <w:r>
        <w:t xml:space="preserve"> </w:t>
      </w:r>
      <w:r>
        <w:t xml:space="preserve">per OData v3 e</w:t>
      </w:r>
      <w:r>
        <w:t xml:space="preserve"> </w:t>
      </w:r>
      <w:r>
        <w:rPr>
          <w:rStyle w:val="VerbatimChar"/>
        </w:rPr>
        <w:t xml:space="preserve">/b1s/v2</w:t>
      </w:r>
      <w:r>
        <w:t xml:space="preserve"> </w:t>
      </w:r>
      <w:r>
        <w:t xml:space="preserve">per OData v4</w:t>
      </w:r>
      <w:hyperlink r:id="rId21">
        <w:r>
          <w:rPr>
            <w:rStyle w:val="Hyperlink"/>
          </w:rPr>
          <w:t xml:space="preserve">[1]</w:t>
        </w:r>
      </w:hyperlink>
      <w:r>
        <w:t xml:space="preserve">. Il DI API invece utilizza connessioni persistenti COM.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Ambiente di esecuzione</w:t>
      </w:r>
      <w:r>
        <w:t xml:space="preserve"> </w:t>
      </w:r>
      <w:r>
        <w:t xml:space="preserve">– Il DI API è disponibile solo su sistemi Windows e richiede l’installazione del client SAP Business One e della libreria COM</w:t>
      </w:r>
      <w:hyperlink r:id="rId25">
        <w:r>
          <w:rPr>
            <w:rStyle w:val="Hyperlink"/>
          </w:rPr>
          <w:t xml:space="preserve">[5]</w:t>
        </w:r>
      </w:hyperlink>
      <w:r>
        <w:t xml:space="preserve">. Non è adatto a container cloud. Il Service Layer, basato su HTTP/OData, può essere consumato da servizi serverless o micro‑servizi.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Conflitti di dati</w:t>
      </w:r>
      <w:r>
        <w:t xml:space="preserve"> </w:t>
      </w:r>
      <w:r>
        <w:t xml:space="preserve">– La sincronizzazione bidirezionale può generare conflitti (es. modifica concorrente di ordini). È necessario definire regole di prevalenza: in V1 Esyy Flow assume il ruolo di master per ordini di produzione e movimenti, mentre SAP rimane master per anagrafiche e ordini di vendita.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Sicurezza e autenticazione</w:t>
      </w:r>
      <w:r>
        <w:t xml:space="preserve"> </w:t>
      </w:r>
      <w:r>
        <w:t xml:space="preserve">– Il Service Layer richiede credenziali di un utente SAP e si appoggia al meccanismo di sessione. Occorre proteggere i token e non esporli al client. Il DI API richiede l’utente Manager e password DB; va protetto tramite secure vault.</w:t>
      </w:r>
    </w:p>
    <w:bookmarkEnd w:id="34"/>
    <w:bookmarkStart w:id="36" w:name="perimetro-esplicitamente-escluso-da-v1"/>
    <w:p>
      <w:pPr>
        <w:pStyle w:val="Heading2"/>
      </w:pPr>
      <w:r>
        <w:t xml:space="preserve">Perimetro esplicitamente escluso da V1</w:t>
      </w:r>
    </w:p>
    <w:p>
      <w:pPr>
        <w:pStyle w:val="Compact"/>
        <w:numPr>
          <w:ilvl w:val="0"/>
          <w:numId w:val="1004"/>
        </w:numPr>
      </w:pPr>
      <w:r>
        <w:t xml:space="preserve">Integrazione di</w:t>
      </w:r>
      <w:r>
        <w:t xml:space="preserve"> </w:t>
      </w:r>
      <w:r>
        <w:rPr>
          <w:b/>
          <w:bCs/>
        </w:rPr>
        <w:t xml:space="preserve">pagamenti, fatture, contabilità finanziaria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Importazione/esportazione dei</w:t>
      </w:r>
      <w:r>
        <w:t xml:space="preserve"> </w:t>
      </w:r>
      <w:r>
        <w:rPr>
          <w:b/>
          <w:bCs/>
        </w:rPr>
        <w:t xml:space="preserve">lotti e seriali</w:t>
      </w:r>
      <w:r>
        <w:t xml:space="preserve"> </w:t>
      </w:r>
      <w:r>
        <w:t xml:space="preserve">(solo anagrafiche semplificate saranno importate; la tracciabilità avanzata potrà essere implementata successivamente).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Webhook</w:t>
      </w:r>
      <w:r>
        <w:t xml:space="preserve"> </w:t>
      </w:r>
      <w:r>
        <w:t xml:space="preserve">o notifiche real‑time: per V1 si usa integrazione batch/scheduled.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Gestione UDF/UDO avanzate</w:t>
      </w:r>
      <w:r>
        <w:t xml:space="preserve">: sarà analizzata in fasi successive, dato che il Service Layer reimpiega il DI Core ma modifica la metadata per adeguarsi a OData</w:t>
      </w:r>
      <w:hyperlink r:id="rId35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Integrazione con altri ERP</w:t>
      </w:r>
      <w:r>
        <w:t xml:space="preserve">: la baseline è focalizzata su SAP Business One; la struttura modulare permetterà di estendere la logica ad altri ERP in fasi successive.</w:t>
      </w:r>
    </w:p>
    <w:bookmarkEnd w:id="36"/>
    <w:bookmarkStart w:id="37" w:name="conclusioni-e-decisioni-aperte"/>
    <w:p>
      <w:pPr>
        <w:pStyle w:val="Heading2"/>
      </w:pPr>
      <w:r>
        <w:t xml:space="preserve">Conclusioni e decisioni aperte</w:t>
      </w:r>
    </w:p>
    <w:p>
      <w:pPr>
        <w:pStyle w:val="FirstParagraph"/>
      </w:pPr>
      <w:r>
        <w:t xml:space="preserve">La baseline OLE‑00 definisce i domini da integrare e le direzioni dei flussi, predilige l’uso del Service Layer OData v4 per un’architettura web‑friendly e identifica i casi in cui valutare il DI API. Le chiavi di riconciliazione preliminari assicurano l’allineamento dei record fra Esyy Flow e SAP. I principali rischi risiedono nelle limitazioni di versione, nella copertura funzionale del Service Layer e nella gestione di conflitti di dati. Sarà necessario approfondire, nella prossima fase, il mapping dettagliato delle entità, l’orchestrazione dei flussi e le politiche di retry/error‑handling.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Working_with_SAP_Business_One_Service_Layer.pdf</w:t>
      </w:r>
    </w:p>
    <w:p>
      <w:pPr>
        <w:pStyle w:val="BodyText"/>
      </w:pPr>
      <w:hyperlink r:id="rId40">
        <w:r>
          <w:rPr>
            <w:rStyle w:val="Hyperlink"/>
          </w:rPr>
          <w:t xml:space="preserve">https://help.sap.com/doc/fc2f5477516c404c8bf9ad1315a17238/10.0/en-US/Working_with_SAP_Business_One_Service_Layer.pdf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Service Layer API Reference</w:t>
      </w:r>
    </w:p>
    <w:p>
      <w:pPr>
        <w:pStyle w:val="BodyText"/>
      </w:pPr>
      <w:hyperlink r:id="rId41">
        <w:r>
          <w:rPr>
            <w:rStyle w:val="Hyperlink"/>
          </w:rPr>
          <w:t xml:space="preserve">https://help.sap.com/doc/056f69366b5345a386bb8149f1700c19/10.0/en-US/Service%20Layer%20API%20Reference.html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API Reference for DI objects</w:t>
      </w:r>
    </w:p>
    <w:p>
      <w:pPr>
        <w:pStyle w:val="BodyText"/>
      </w:pPr>
      <w:hyperlink r:id="rId42">
        <w:r>
          <w:rPr>
            <w:rStyle w:val="Hyperlink"/>
          </w:rPr>
          <w:t xml:space="preserve">https://help.sap.com/doc/089315d8d0f8475a9fc84fb919b501a3/10.0/en-US/SDKHelp/SAPbobsCOM_P.html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B1_90_TB1300_02_Sol.pdf</w:t>
      </w:r>
    </w:p>
    <w:p>
      <w:pPr>
        <w:pStyle w:val="BodyText"/>
      </w:pPr>
      <w:hyperlink r:id="rId43">
        <w:r>
          <w:rPr>
            <w:rStyle w:val="Hyperlink"/>
          </w:rPr>
          <w:t xml:space="preserve">https://help.sap.com/doc/saphelpiis_hc_b1_image_repository_development_training_basic_b1_90_tb1300_02_sol_pdf/9.0/en-US/B1_90_TB1300_02_Sol.pdf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UF - Service Layer – Boyum Help Center</w:t>
      </w:r>
    </w:p>
    <w:p>
      <w:pPr>
        <w:pStyle w:val="BodyText"/>
      </w:pPr>
      <w:hyperlink r:id="rId44">
        <w:r>
          <w:rPr>
            <w:rStyle w:val="Hyperlink"/>
          </w:rPr>
          <w:t xml:space="preserve">https://support.boyum-it.com/hc/en-us/community/posts/14688606713757-UF-Service-Layer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Appendix II: Metadata Naming Difference between Service Layer and DI API | SAP Help Portal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https://help.sap.com/docs/SAP_BUSINESS_ONE/f110a154dd0f4c20bf7f3ebca9eeb794/3462464e1a694a7c857bd736b36e1681.html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help.sap.com/doc/056f69366b5345a386bb8149f1700c19/10.0/en-US/Service%20Layer%20API%20Reference.html" TargetMode="External" /><Relationship Type="http://schemas.openxmlformats.org/officeDocument/2006/relationships/hyperlink" Id="rId23" Target="https://help.sap.com/doc/056f69366b5345a386bb8149f1700c19/10.0/en-US/Service%20Layer%20API%20Reference.html#:~:text=As%20of%20SAP%20Business%20One,maintainability%20and%20new%20feature%20availability" TargetMode="External" /><Relationship Type="http://schemas.openxmlformats.org/officeDocument/2006/relationships/hyperlink" Id="rId42" Target="https://help.sap.com/doc/089315d8d0f8475a9fc84fb919b501a3/10.0/en-US/SDKHelp/SAPbobsCOM_P.html" TargetMode="External" /><Relationship Type="http://schemas.openxmlformats.org/officeDocument/2006/relationships/hyperlink" Id="rId24" Target="https://help.sap.com/doc/089315d8d0f8475a9fc84fb919b501a3/10.0/en-US/SDKHelp/SAPbobsCOM_P.html#:~:text=The%20DI%20API%20provides%20an,Business%20One%2C%20enabling%20data%20manipulation" TargetMode="External" /><Relationship Type="http://schemas.openxmlformats.org/officeDocument/2006/relationships/hyperlink" Id="rId40" Target="https://help.sap.com/doc/fc2f5477516c404c8bf9ad1315a17238/10.0/en-US/Working_with_SAP_Business_One_Service_Layer.pdf" TargetMode="External" /><Relationship Type="http://schemas.openxmlformats.org/officeDocument/2006/relationships/hyperlink" Id="rId22" Target="https://help.sap.com/doc/fc2f5477516c404c8bf9ad1315a17238/10.0/en-US/Working_with_SAP_Business_One_Service_Layer.pdf#:~:text=The%20DI%20Core%20is%20the,who%20have%20already%20acquired%20DI" TargetMode="External" /><Relationship Type="http://schemas.openxmlformats.org/officeDocument/2006/relationships/hyperlink" Id="rId21" Target="https://help.sap.com/doc/fc2f5477516c404c8bf9ad1315a17238/10.0/en-US/Working_with_SAP_Business_One_Service_Layer.pdf#:~:text=consuming%20SAP%20Business%20One%20data,for%20odata%20v4%2010%20PUBLIC" TargetMode="External" /><Relationship Type="http://schemas.openxmlformats.org/officeDocument/2006/relationships/hyperlink" Id="rId43" Target="https://help.sap.com/doc/saphelpiis_hc_b1_image_repository_development_training_basic_b1_90_tb1300_02_sol_pdf/9.0/en-US/B1_90_TB1300_02_Sol.pdf" TargetMode="External" /><Relationship Type="http://schemas.openxmlformats.org/officeDocument/2006/relationships/hyperlink" Id="rId25" Target="https://help.sap.com/doc/saphelpiis_hc_b1_image_repository_development_training_basic_b1_90_tb1300_02_sol_pdf/9.0/en-US/B1_90_TB1300_02_Sol.pdf#:~:text=Add%20a%20reference%20to%20the,click%20on%20the%20COM%20tab" TargetMode="External" /><Relationship Type="http://schemas.openxmlformats.org/officeDocument/2006/relationships/hyperlink" Id="rId35" Target="https://help.sap.com/docs/SAP_BUSINESS_ONE/f110a154dd0f4c20bf7f3ebca9eeb794/3462464e1a694a7c857bd736b36e1681.html" TargetMode="External" /><Relationship Type="http://schemas.openxmlformats.org/officeDocument/2006/relationships/hyperlink" Id="rId44" Target="https://support.boyum-it.com/hc/en-us/community/posts/14688606713757-UF-Service-Layer" TargetMode="External" /><Relationship Type="http://schemas.openxmlformats.org/officeDocument/2006/relationships/hyperlink" Id="rId33" Target="https://support.boyum-it.com/hc/en-us/community/posts/14688606713757-UF-Service-Layer#:~:text=As%20of%20version%2010%20of,DI%20API%20integrations%20by%20f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help.sap.com/doc/056f69366b5345a386bb8149f1700c19/10.0/en-US/Service%20Layer%20API%20Reference.html" TargetMode="External" /><Relationship Type="http://schemas.openxmlformats.org/officeDocument/2006/relationships/hyperlink" Id="rId23" Target="https://help.sap.com/doc/056f69366b5345a386bb8149f1700c19/10.0/en-US/Service%20Layer%20API%20Reference.html#:~:text=As%20of%20SAP%20Business%20One,maintainability%20and%20new%20feature%20availability" TargetMode="External" /><Relationship Type="http://schemas.openxmlformats.org/officeDocument/2006/relationships/hyperlink" Id="rId42" Target="https://help.sap.com/doc/089315d8d0f8475a9fc84fb919b501a3/10.0/en-US/SDKHelp/SAPbobsCOM_P.html" TargetMode="External" /><Relationship Type="http://schemas.openxmlformats.org/officeDocument/2006/relationships/hyperlink" Id="rId24" Target="https://help.sap.com/doc/089315d8d0f8475a9fc84fb919b501a3/10.0/en-US/SDKHelp/SAPbobsCOM_P.html#:~:text=The%20DI%20API%20provides%20an,Business%20One%2C%20enabling%20data%20manipulation" TargetMode="External" /><Relationship Type="http://schemas.openxmlformats.org/officeDocument/2006/relationships/hyperlink" Id="rId40" Target="https://help.sap.com/doc/fc2f5477516c404c8bf9ad1315a17238/10.0/en-US/Working_with_SAP_Business_One_Service_Layer.pdf" TargetMode="External" /><Relationship Type="http://schemas.openxmlformats.org/officeDocument/2006/relationships/hyperlink" Id="rId22" Target="https://help.sap.com/doc/fc2f5477516c404c8bf9ad1315a17238/10.0/en-US/Working_with_SAP_Business_One_Service_Layer.pdf#:~:text=The%20DI%20Core%20is%20the,who%20have%20already%20acquired%20DI" TargetMode="External" /><Relationship Type="http://schemas.openxmlformats.org/officeDocument/2006/relationships/hyperlink" Id="rId21" Target="https://help.sap.com/doc/fc2f5477516c404c8bf9ad1315a17238/10.0/en-US/Working_with_SAP_Business_One_Service_Layer.pdf#:~:text=consuming%20SAP%20Business%20One%20data,for%20odata%20v4%2010%20PUBLIC" TargetMode="External" /><Relationship Type="http://schemas.openxmlformats.org/officeDocument/2006/relationships/hyperlink" Id="rId43" Target="https://help.sap.com/doc/saphelpiis_hc_b1_image_repository_development_training_basic_b1_90_tb1300_02_sol_pdf/9.0/en-US/B1_90_TB1300_02_Sol.pdf" TargetMode="External" /><Relationship Type="http://schemas.openxmlformats.org/officeDocument/2006/relationships/hyperlink" Id="rId25" Target="https://help.sap.com/doc/saphelpiis_hc_b1_image_repository_development_training_basic_b1_90_tb1300_02_sol_pdf/9.0/en-US/B1_90_TB1300_02_Sol.pdf#:~:text=Add%20a%20reference%20to%20the,click%20on%20the%20COM%20tab" TargetMode="External" /><Relationship Type="http://schemas.openxmlformats.org/officeDocument/2006/relationships/hyperlink" Id="rId35" Target="https://help.sap.com/docs/SAP_BUSINESS_ONE/f110a154dd0f4c20bf7f3ebca9eeb794/3462464e1a694a7c857bd736b36e1681.html" TargetMode="External" /><Relationship Type="http://schemas.openxmlformats.org/officeDocument/2006/relationships/hyperlink" Id="rId44" Target="https://support.boyum-it.com/hc/en-us/community/posts/14688606713757-UF-Service-Layer" TargetMode="External" /><Relationship Type="http://schemas.openxmlformats.org/officeDocument/2006/relationships/hyperlink" Id="rId33" Target="https://support.boyum-it.com/hc/en-us/community/posts/14688606713757-UF-Service-Layer#:~:text=As%20of%20version%2010%20of,DI%20API%20integrations%20by%20f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2026-04-17T09:15:37Z</dcterms:created>
  <dcterms:modified xsi:type="dcterms:W3CDTF">2026-04-17T09:15:37Z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