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381"/>
        <w:gridCol w:w="6690"/>
      </w:tblGrid>
      <w:tr>
        <w:tc>
          <w:tcPr>
            <w:tcW w:type="dxa" w:w="5043"/>
            <w:shd w:fill="09111F"/>
            <w:tcMar>
              <w:top w:w="200" w:type="dxa"/>
              <w:start w:w="180" w:type="dxa"/>
              <w:bottom w:w="220" w:type="dxa"/>
              <w:end w:w="1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3740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yy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374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09111F"/>
            <w:tcMar>
              <w:top w:w="200" w:type="dxa"/>
              <w:start w:w="180" w:type="dxa"/>
              <w:bottom w:w="220" w:type="dxa"/>
              <w:end w:w="180" w:type="dxa"/>
            </w:tcMar>
            <w:vAlign w:val="center"/>
          </w:tcPr>
          <w:p>
            <w:pPr>
              <w:pStyle w:val="Title"/>
            </w:pPr>
            <w:r>
              <w:rPr>
                <w:rFonts w:ascii="Inter" w:hAnsi="Inter" w:eastAsia="Inter"/>
                <w:b/>
                <w:i w:val="0"/>
                <w:color w:val="FFFFFF"/>
                <w:sz w:val="48"/>
              </w:rPr>
              <w:t>Esyy Flow</w:t>
            </w:r>
          </w:p>
          <w:p>
            <w:pPr>
              <w:pStyle w:val="Title"/>
            </w:pPr>
            <w:r>
              <w:t>Documento Component Library + States</w:t>
            </w:r>
          </w:p>
          <w:p>
            <w:pPr>
              <w:pStyle w:val="Subtitle"/>
            </w:pPr>
            <w:r>
              <w:t>Versione 1.0 · Deliverable operativo per Michael e handoff verso Isabell</w:t>
            </w:r>
          </w:p>
          <w:p>
            <w:r>
              <w:rPr>
                <w:rFonts w:ascii="Inter" w:hAnsi="Inter" w:eastAsia="Inter"/>
                <w:b/>
                <w:i w:val="0"/>
                <w:color w:val="E2E8F0"/>
                <w:sz w:val="21"/>
              </w:rPr>
              <w:t xml:space="preserve">Focus: </w:t>
            </w:r>
            <w:r>
              <w:rPr>
                <w:rFonts w:ascii="Inter" w:hAnsi="Inter" w:eastAsia="Inter"/>
                <w:b w:val="0"/>
                <w:i w:val="0"/>
                <w:color w:val="E2E8F0"/>
                <w:sz w:val="21"/>
              </w:rPr>
              <w:t>varianti, stati, pattern coerenti office/shopfloor, componenti trasversali e regole implementative.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3175"/>
        <w:gridCol w:w="3175"/>
        <w:gridCol w:w="3175"/>
      </w:tblGrid>
      <w:tr>
        <w:tc>
          <w:tcPr>
            <w:tcW w:type="dxa" w:w="3362"/>
            <w:shd w:fill="F8FA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43055"/>
                <w:sz w:val="21"/>
              </w:rPr>
              <w:t>Scopo</w:t>
            </w:r>
          </w:p>
          <w:p>
            <w:r>
              <w:t>Tradurre la direzione visiva approvata in una libreria componenti concreta e non ambigua.</w:t>
            </w:r>
          </w:p>
        </w:tc>
        <w:tc>
          <w:tcPr>
            <w:tcW w:type="dxa" w:w="3362"/>
            <w:shd w:fill="F8FA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43055"/>
                <w:sz w:val="21"/>
              </w:rPr>
              <w:t>Ambienti</w:t>
            </w:r>
          </w:p>
          <w:p>
            <w:r>
              <w:t>Una stessa grammatica concettuale con due famiglie distinte: office desktop e shopfloor tablet/scanner.</w:t>
            </w:r>
          </w:p>
        </w:tc>
        <w:tc>
          <w:tcPr>
            <w:tcW w:type="dxa" w:w="3362"/>
            <w:shd w:fill="F8FA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43055"/>
                <w:sz w:val="21"/>
              </w:rPr>
              <w:t>Uso finale</w:t>
            </w:r>
          </w:p>
          <w:p>
            <w:r>
              <w:t>Documento da trasferire nel repository insieme ai token e usare come base di implementazione coerente.</w:t>
            </w:r>
          </w:p>
        </w:tc>
      </w:tr>
    </w:tbl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1. Obiettivo e perimetro</w:t>
      </w:r>
    </w:p>
    <w:p>
      <w:pPr>
        <w:spacing w:after="80" w:line="283" w:lineRule="auto"/>
      </w:pPr>
      <w:r>
        <w:rPr>
          <w:rFonts w:ascii="Inter" w:hAnsi="Inter" w:eastAsia="Inter"/>
          <w:b w:val="0"/>
          <w:i w:val="0"/>
        </w:rPr>
        <w:t>Questo deliverable definisce la libreria componenti e i pattern di stato di Esyy Flow a un livello sufficientemente concreto da permettere a Isabell di implementare la UI senza reinterpretare ogni scelta grafica o comportamentale. Il documento è pensato come ponte tra documento master UI/UX, design system, schermate high-fidelity e handoff tecnico-operativo.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Focus: </w:t>
      </w:r>
      <w:r>
        <w:rPr>
          <w:rFonts w:ascii="Inter" w:hAnsi="Inter" w:eastAsia="Inter"/>
          <w:b w:val="0"/>
          <w:i w:val="0"/>
        </w:rPr>
        <w:t>componenti base, varianti, stati, uso corretto, regole office vs shopfloor e priorità di implementazione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Fuori perimetro: </w:t>
      </w:r>
      <w:r>
        <w:rPr>
          <w:rFonts w:ascii="Inter" w:hAnsi="Inter" w:eastAsia="Inter"/>
          <w:b w:val="0"/>
          <w:i w:val="0"/>
        </w:rPr>
        <w:t>logica applicativa completa, libreria React finale di produzione, manutenzione diretta del repository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Principio: </w:t>
      </w:r>
      <w:r>
        <w:rPr>
          <w:rFonts w:ascii="Inter" w:hAnsi="Inter" w:eastAsia="Inter"/>
          <w:b w:val="0"/>
          <w:i w:val="0"/>
        </w:rPr>
        <w:t>stessa grammatica concettuale cross-modulo, con adattamento mirato dove cambiano densità, touch behavior e criticità operativa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FD4F1"/>
          <w:left w:val="single" w:sz="8" w:color="BFD4F1"/>
          <w:bottom w:val="single" w:sz="8" w:color="BFD4F1"/>
          <w:right w:val="single" w:sz="8" w:color="BFD4F1"/>
          <w:insideH w:val="single" w:sz="8" w:color="BFD4F1"/>
          <w:insideV w:val="single" w:sz="8" w:color="BFD4F1"/>
        </w:tblBorders>
      </w:tblPr>
      <w:tblGrid>
        <w:gridCol w:w="10086"/>
      </w:tblGrid>
      <w:tr>
        <w:tc>
          <w:tcPr>
            <w:tcW w:type="dxa" w:w="10086"/>
            <w:shd w:fill="F4F7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43055"/>
              </w:rPr>
              <w:t>Premessa di metodo</w:t>
            </w:r>
          </w:p>
          <w:p>
            <w:r>
              <w:t>I componenti sono descritti in modo semantico e implementabile: naming, varianti, stati, comportamento, contesto d’uso e note di handoff. Il documento non sostituisce le schermate high-fidelity, ma le rende coerenti e riusabili.</w:t>
            </w:r>
          </w:p>
        </w:tc>
      </w:tr>
    </w:tbl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2. Principi di costruzione della libreria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Naming semantico: </w:t>
      </w:r>
      <w:r>
        <w:rPr>
          <w:rFonts w:ascii="Inter" w:hAnsi="Inter" w:eastAsia="Inter"/>
          <w:b w:val="0"/>
          <w:i w:val="0"/>
        </w:rPr>
        <w:t>AppShell, SidebarNav, TopBar, PageHeader, KpiCard, StatusBadge, DataTable, EntityDrawer, ScannerTaskCard: mai naming puramente visivo o decorativo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Varianti dichiarate: </w:t>
      </w:r>
      <w:r>
        <w:rPr>
          <w:rFonts w:ascii="Inter" w:hAnsi="Inter" w:eastAsia="Inter"/>
          <w:b w:val="0"/>
          <w:i w:val="0"/>
        </w:rPr>
        <w:t>ogni componente deve esplicitare environment, density, emphasis, severity e interactive state dove rilevanti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 / don’t: </w:t>
      </w:r>
      <w:r>
        <w:rPr>
          <w:rFonts w:ascii="Inter" w:hAnsi="Inter" w:eastAsia="Inter"/>
          <w:b w:val="0"/>
          <w:i w:val="0"/>
        </w:rPr>
        <w:t>il componente deve includere comportamento corretto e abuso frequente da evitare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Office vs shopfloor: </w:t>
      </w:r>
      <w:r>
        <w:rPr>
          <w:rFonts w:ascii="Inter" w:hAnsi="Inter" w:eastAsia="Inter"/>
          <w:b w:val="0"/>
          <w:i w:val="0"/>
        </w:rPr>
        <w:t>stesso modello concettuale; differiscono peso visivo, dimensione target, quantità di informazioni e affordance touch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State-first: </w:t>
      </w:r>
      <w:r>
        <w:rPr>
          <w:rFonts w:ascii="Inter" w:hAnsi="Inter" w:eastAsia="Inter"/>
          <w:b w:val="0"/>
          <w:i w:val="0"/>
        </w:rPr>
        <w:t>gli stati non sono accessori: sono parte del significato del componente</w:t>
      </w:r>
    </w:p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3. Famiglie componenti</w:t>
      </w:r>
    </w:p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3.1 Componenti strutturali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14"/>
        <w:gridCol w:w="2324"/>
        <w:gridCol w:w="2948"/>
        <w:gridCol w:w="2551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Componente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Varianti principali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Stati / 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 implementative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AppShell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office / shopfloor / super-admin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gestisce rail, topbar, area contenuto e contesto pagina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base strutturale da implementare prima delle pagine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SidebarNav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expanded / compact / tablet hidden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attivo, hover, disabled, badge count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 office usa rail dark brand; in shopfloor va ridotta o sostituita da accesso task-first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TopBar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standard / contextual / dense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search active, alerts, sticky behavior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include identity, quick actions, user menu e contesto operativo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PageHeader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overview / detail / operational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title, metadata, quick actions, breadcrumb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deve rendere subito leggibile il contesto: commessa, ODP, fase, lotto, terzista</w:t>
            </w:r>
          </w:p>
        </w:tc>
      </w:tr>
    </w:tbl>
    <w:p/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3.2 Data display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14"/>
        <w:gridCol w:w="2324"/>
        <w:gridCol w:w="2948"/>
        <w:gridCol w:w="2551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Componente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Varianti principali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Stati / 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 implementative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KpiCard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default / critical / trend / clickable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normal, alert, improving, worsening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numeri sempre leggibili; trend secondario ma percepibile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StatusBadge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severity / nature / dual-tag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info, success, warning, danger, neutral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un solo vocabolario di stati, niente badge decorativi o ridondanti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DataTable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dense / roomy / live / selection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sorting, filtering, empty, loading, error, row expansion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header cliccabili, colonne deliberate, viste salvate, badge sobri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Tabs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page / subpage / segmented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active, hover, disabled, count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da usare per cambiare area concettuale; non sostituisce filtri rapidi</w:t>
            </w:r>
          </w:p>
        </w:tc>
      </w:tr>
    </w:tbl>
    <w:p/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3.3 Interaction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14"/>
        <w:gridCol w:w="2324"/>
        <w:gridCol w:w="2948"/>
        <w:gridCol w:w="2551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Componente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Varianti principali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Stati / 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 implementative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FiltersBar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inline / drawer-backed / compact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default, active filters, reset available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 office può essere densa; in shopfloor solo filtri essenziali e touch-safe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EntityDrawer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detail / edit / live / compare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open, loading, saving, dirty, blocked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prima scelta per dettaglio operativo contestuale senza cambiare pagina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ModalDialog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confirm / destructive / micro-flow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open, danger, disabled-confirm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solo per decisioni brevi o conferme; evitare uso come mini-pagina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RowActionMenu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inline / kebab / quick-actions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default, hover, disabled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azioni frequenti esplicite, azioni rare nel menu contestuale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3.4 Form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14"/>
        <w:gridCol w:w="2324"/>
        <w:gridCol w:w="2948"/>
        <w:gridCol w:w="2551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Componente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Varianti principali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Stati / 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 implementative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TextInput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default / compact / with-helper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default, focus, error, disabled, readonly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etichette sempre visibili; placeholder mai unico supporto informativo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Select / Combo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single / multi / searchable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default, loading, empty results, locked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ricerca integrata dove dominio è ampio o codice-driven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SegmentedBoolean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on/off, yes/no, internal/external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selected, hover, disabled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preferito allo switch generico per chiarezza operativa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Date / Qty controls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date, range, numeric stepper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valid, invalid, exceeds-threshold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fondamentali per pianificazione, quantità e missioni materiale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3.5 Componenti specifici di dominio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14"/>
        <w:gridCol w:w="2324"/>
        <w:gridCol w:w="2948"/>
        <w:gridCol w:w="2551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Componente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Varianti principali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Stati / 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 implementative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Timeline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activity / traceability / production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past, current, delayed, blocked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vista cronologica vera, con eventi leggibili e drill-down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FeedLive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event stream / status stream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updating, disconnected, stale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niente lampeggi; usare timestamp e origine evento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GenealogyGraph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lot genealogy / relation map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node selected, filtered, warning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non illustrativo: deve supportare navigazione e contesto attuale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LabelEditorCanvas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template edit / preview / test print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editing, unsaved, preview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pattern dedicato; toolbar e canvas devono restare puliti e leggibili</w:t>
            </w:r>
          </w:p>
        </w:tc>
      </w:tr>
    </w:tbl>
    <w:p/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3.6 Shopfloor-specific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14"/>
        <w:gridCol w:w="2324"/>
        <w:gridCol w:w="2948"/>
        <w:gridCol w:w="2551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Componente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Varianti principali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Stati / 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 implementative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ScannerModeInput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camera / keyboard wedge / manual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ready, scanning, success, fail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deve reggere uso rapido con feedback immediato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TaskQueueCard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phase / mission / issue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ready, blocked, urgent, in-progress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card-first, leggibile a colpo d’occhio, target touch ampi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PhaseActionBar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start / progress / close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enabled, disabled, critical action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una primary action per volta, più eventuali azioni secondarie protette</w:t>
            </w:r>
          </w:p>
        </w:tc>
      </w:tr>
      <w:tr>
        <w:tc>
          <w:tcPr>
            <w:tcW w:type="dxa" w:w="181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TouchSummaryPanel</w:t>
            </w:r>
          </w:p>
        </w:tc>
        <w:tc>
          <w:tcPr>
            <w:tcW w:type="dxa" w:w="2324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phase, lot, mission</w:t>
            </w:r>
          </w:p>
        </w:tc>
        <w:tc>
          <w:tcPr>
            <w:tcW w:type="dxa" w:w="294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info, warning, missing-material</w:t>
            </w:r>
          </w:p>
        </w:tc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sintesi compatta del contesto necessario all’operatore</w:t>
            </w:r>
          </w:p>
        </w:tc>
      </w:tr>
    </w:tbl>
    <w:p/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4. Pattern di stato trasversali</w:t>
      </w:r>
    </w:p>
    <w:p>
      <w:pPr>
        <w:spacing w:after="80" w:line="283" w:lineRule="auto"/>
      </w:pPr>
      <w:r>
        <w:rPr>
          <w:rFonts w:ascii="Inter" w:hAnsi="Inter" w:eastAsia="Inter"/>
          <w:b w:val="0"/>
          <w:i w:val="0"/>
        </w:rPr>
        <w:t>Gli stati devono essere coerenti tra moduli. Cambia il contesto, non il vocabolario. La semantica va prima del colore.</w:t>
      </w:r>
    </w:p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4.1 State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871"/>
        <w:gridCol w:w="2268"/>
        <w:gridCol w:w="2835"/>
        <w:gridCol w:w="2665"/>
      </w:tblGrid>
      <w:tr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Pattern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Uso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Comportamento</w:t>
            </w:r>
          </w:p>
        </w:tc>
        <w:tc>
          <w:tcPr>
            <w:tcW w:type="dxa" w:w="2521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Note</w:t>
            </w:r>
          </w:p>
        </w:tc>
      </w:tr>
      <w:tr>
        <w:tc>
          <w:tcPr>
            <w:tcW w:type="dxa" w:w="187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Empty state</w:t>
            </w:r>
          </w:p>
        </w:tc>
        <w:tc>
          <w:tcPr>
            <w:tcW w:type="dxa" w:w="226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nessun dato coerente con il filtro o con il contesto</w:t>
            </w:r>
          </w:p>
        </w:tc>
        <w:tc>
          <w:tcPr>
            <w:tcW w:type="dxa" w:w="283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messaggio chiaro + CTA primaria + opzionale CTA secondaria</w:t>
            </w:r>
          </w:p>
        </w:tc>
        <w:tc>
          <w:tcPr>
            <w:tcW w:type="dxa" w:w="266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illustrazione solo se aiuta davvero</w:t>
            </w:r>
          </w:p>
        </w:tc>
      </w:tr>
      <w:tr>
        <w:tc>
          <w:tcPr>
            <w:tcW w:type="dxa" w:w="187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Loading state</w:t>
            </w:r>
          </w:p>
        </w:tc>
        <w:tc>
          <w:tcPr>
            <w:tcW w:type="dxa" w:w="226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caricamento pagina, tabella o drawer</w:t>
            </w:r>
          </w:p>
        </w:tc>
        <w:tc>
          <w:tcPr>
            <w:tcW w:type="dxa" w:w="283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skeleton strutturale; spinner solo per micro-attese</w:t>
            </w:r>
          </w:p>
        </w:tc>
        <w:tc>
          <w:tcPr>
            <w:tcW w:type="dxa" w:w="266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il layout percepito deve già essere chiaro</w:t>
            </w:r>
          </w:p>
        </w:tc>
      </w:tr>
      <w:tr>
        <w:tc>
          <w:tcPr>
            <w:tcW w:type="dxa" w:w="187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Error state</w:t>
            </w:r>
          </w:p>
        </w:tc>
        <w:tc>
          <w:tcPr>
            <w:tcW w:type="dxa" w:w="226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errore recuperabile o bloccante</w:t>
            </w:r>
          </w:p>
        </w:tc>
        <w:tc>
          <w:tcPr>
            <w:tcW w:type="dxa" w:w="283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titolo breve, spiegazione umana, azione consigliata</w:t>
            </w:r>
          </w:p>
        </w:tc>
        <w:tc>
          <w:tcPr>
            <w:tcW w:type="dxa" w:w="266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niente messaggi tecnici grezzi in faccia all’utente</w:t>
            </w:r>
          </w:p>
        </w:tc>
      </w:tr>
      <w:tr>
        <w:tc>
          <w:tcPr>
            <w:tcW w:type="dxa" w:w="187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Disabled / locked</w:t>
            </w:r>
          </w:p>
        </w:tc>
        <w:tc>
          <w:tcPr>
            <w:tcW w:type="dxa" w:w="226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azione non consentita o oggetto non modificabile</w:t>
            </w:r>
          </w:p>
        </w:tc>
        <w:tc>
          <w:tcPr>
            <w:tcW w:type="dxa" w:w="283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stato visibile, contrasto leggibile, motivazione disponibile</w:t>
            </w:r>
          </w:p>
        </w:tc>
        <w:tc>
          <w:tcPr>
            <w:tcW w:type="dxa" w:w="266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mai sparire l’azione senza spiegazione</w:t>
            </w:r>
          </w:p>
        </w:tc>
      </w:tr>
      <w:tr>
        <w:tc>
          <w:tcPr>
            <w:tcW w:type="dxa" w:w="187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Live / updating</w:t>
            </w:r>
          </w:p>
        </w:tc>
        <w:tc>
          <w:tcPr>
            <w:tcW w:type="dxa" w:w="226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feed eventi, avanzamenti, sincronizzazioni live</w:t>
            </w:r>
          </w:p>
        </w:tc>
        <w:tc>
          <w:tcPr>
            <w:tcW w:type="dxa" w:w="283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segnale sobrio, timestamp, origine</w:t>
            </w:r>
          </w:p>
        </w:tc>
        <w:tc>
          <w:tcPr>
            <w:tcW w:type="dxa" w:w="266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evitare stress visivo</w:t>
            </w:r>
          </w:p>
        </w:tc>
      </w:tr>
      <w:tr>
        <w:tc>
          <w:tcPr>
            <w:tcW w:type="dxa" w:w="187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Critical / delayed</w:t>
            </w:r>
          </w:p>
        </w:tc>
        <w:tc>
          <w:tcPr>
            <w:tcW w:type="dxa" w:w="2268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ritardo, blocco, severità alta</w:t>
            </w:r>
          </w:p>
        </w:tc>
        <w:tc>
          <w:tcPr>
            <w:tcW w:type="dxa" w:w="283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enfasi chiara ma controllata</w:t>
            </w:r>
          </w:p>
        </w:tc>
        <w:tc>
          <w:tcPr>
            <w:tcW w:type="dxa" w:w="2665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da usare su badge, card e righe senza saturare tutta la pagina</w:t>
            </w:r>
          </w:p>
        </w:tc>
      </w:tr>
    </w:tbl>
    <w:p/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5. Regole office vs shopfloor</w:t>
      </w:r>
    </w:p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5.1 Matrix di adattamento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2551"/>
        <w:gridCol w:w="3572"/>
        <w:gridCol w:w="3572"/>
      </w:tblGrid>
      <w:tr>
        <w:tc>
          <w:tcPr>
            <w:tcW w:type="dxa" w:w="3362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Tema</w:t>
            </w:r>
          </w:p>
        </w:tc>
        <w:tc>
          <w:tcPr>
            <w:tcW w:type="dxa" w:w="3362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Office / desktop</w:t>
            </w:r>
          </w:p>
        </w:tc>
        <w:tc>
          <w:tcPr>
            <w:tcW w:type="dxa" w:w="3362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Shopfloor / tablet / scanner</w:t>
            </w:r>
          </w:p>
        </w:tc>
      </w:tr>
      <w:tr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Densità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Più dati per vista, ma con gerarchia netta e progressive disclosure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Poche informazioni per volta, target touch ampi e task-first</w:t>
            </w:r>
          </w:p>
        </w:tc>
      </w:tr>
      <w:tr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Navigazione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Sidebar persistente, topbar, tab, link interni evidenti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Task queue, action bars, accesso rapido, riduzione dei layer secondari</w:t>
            </w:r>
          </w:p>
        </w:tc>
      </w:tr>
      <w:tr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Feedback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Badge, helper, microcopy e drawer contestuali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Feedback più grandi, immediati, ad alto contrasto, orientati all’azione</w:t>
            </w:r>
          </w:p>
        </w:tc>
      </w:tr>
      <w:tr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Form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Form completi, controlli allineati, validazioni inline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Controlli essenziali, pochi campi, errori evidenti e recuperabili senza ambiguità</w:t>
            </w:r>
          </w:p>
        </w:tc>
      </w:tr>
      <w:tr>
        <w:tc>
          <w:tcPr>
            <w:tcW w:type="dxa" w:w="255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Tabelle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Elemento strutturale principale per molti moduli</w:t>
            </w:r>
          </w:p>
        </w:tc>
        <w:tc>
          <w:tcPr>
            <w:tcW w:type="dxa" w:w="3572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Da ridurre al minimo; meglio card, step, queue e pannelli operativi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FD4F1"/>
          <w:left w:val="single" w:sz="8" w:color="BFD4F1"/>
          <w:bottom w:val="single" w:sz="8" w:color="BFD4F1"/>
          <w:right w:val="single" w:sz="8" w:color="BFD4F1"/>
          <w:insideH w:val="single" w:sz="8" w:color="BFD4F1"/>
          <w:insideV w:val="single" w:sz="8" w:color="BFD4F1"/>
        </w:tblBorders>
      </w:tblPr>
      <w:tblGrid>
        <w:gridCol w:w="10086"/>
      </w:tblGrid>
      <w:tr>
        <w:tc>
          <w:tcPr>
            <w:tcW w:type="dxa" w:w="10086"/>
            <w:shd w:fill="F4F7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43055"/>
              </w:rPr>
              <w:t>Regola chiave</w:t>
            </w:r>
          </w:p>
          <w:p>
            <w:r>
              <w:t>Office e shopfloor non sono due prodotti diversi: condividono semantica, naming e stati. Quello che cambia è il grado di complessità visibile, il touch behavior e la quantità di informazione mostrata nello stesso momento.</w:t>
            </w:r>
          </w:p>
        </w:tc>
      </w:tr>
    </w:tbl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6. Do / don’t sintetici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Do: </w:t>
      </w:r>
      <w:r>
        <w:rPr>
          <w:rFonts w:ascii="Inter" w:hAnsi="Inter" w:eastAsia="Inter"/>
          <w:b w:val="0"/>
          <w:i w:val="0"/>
        </w:rPr>
        <w:t>usare DataTable quando serve analisi e manipolazione di liste operative strutturate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Do: </w:t>
      </w:r>
      <w:r>
        <w:rPr>
          <w:rFonts w:ascii="Inter" w:hAnsi="Inter" w:eastAsia="Inter"/>
          <w:b w:val="0"/>
          <w:i w:val="0"/>
        </w:rPr>
        <w:t>usare EntityDrawer per dettaglio operativo, avanzamento o editing contestuale senza rompere il contesto della pagina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Do: </w:t>
      </w:r>
      <w:r>
        <w:rPr>
          <w:rFonts w:ascii="Inter" w:hAnsi="Inter" w:eastAsia="Inter"/>
          <w:b w:val="0"/>
          <w:i w:val="0"/>
        </w:rPr>
        <w:t>mantenere i badge minimali e semanticamente consistenti tra moduli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Don’t: </w:t>
      </w:r>
      <w:r>
        <w:rPr>
          <w:rFonts w:ascii="Inter" w:hAnsi="Inter" w:eastAsia="Inter"/>
          <w:b w:val="0"/>
          <w:i w:val="0"/>
        </w:rPr>
        <w:t>trasformare ogni dettaglio in modale; il modale non deve diventare una mini-app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Don’t: </w:t>
      </w:r>
      <w:r>
        <w:rPr>
          <w:rFonts w:ascii="Inter" w:hAnsi="Inter" w:eastAsia="Inter"/>
          <w:b w:val="0"/>
          <w:i w:val="0"/>
        </w:rPr>
        <w:t>duplicare lo stesso significato con colore + badge + icona + label se uno solo basta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/>
          <w:i w:val="0"/>
        </w:rPr>
        <w:t xml:space="preserve">Don’t: </w:t>
      </w:r>
      <w:r>
        <w:rPr>
          <w:rFonts w:ascii="Inter" w:hAnsi="Inter" w:eastAsia="Inter"/>
          <w:b w:val="0"/>
          <w:i w:val="0"/>
        </w:rPr>
        <w:t>portare tabelle dense nel MES se il compito reale è meglio servito da card o action panel</w:t>
      </w:r>
    </w:p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7. Priorità di implementazione suggerita</w:t>
      </w:r>
    </w:p>
    <w:p>
      <w:pPr>
        <w:pStyle w:val="Heading2"/>
        <w:spacing w:before="160" w:after="80"/>
      </w:pPr>
      <w:r>
        <w:rPr>
          <w:rFonts w:ascii="Inter" w:hAnsi="Inter" w:eastAsia="Inter"/>
          <w:b/>
          <w:i w:val="0"/>
          <w:color w:val="143055"/>
        </w:rPr>
        <w:t>7.1 Sequenza build per Isabell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CE5"/>
          <w:left w:val="single" w:sz="8" w:color="D6DCE5"/>
          <w:bottom w:val="single" w:sz="8" w:color="D6DCE5"/>
          <w:right w:val="single" w:sz="8" w:color="D6DCE5"/>
          <w:insideH w:val="single" w:sz="8" w:color="D6DCE5"/>
          <w:insideV w:val="single" w:sz="8" w:color="D6DCE5"/>
        </w:tblBorders>
      </w:tblPr>
      <w:tblGrid>
        <w:gridCol w:w="1701"/>
        <w:gridCol w:w="7937"/>
      </w:tblGrid>
      <w:tr>
        <w:tc>
          <w:tcPr>
            <w:tcW w:type="dxa" w:w="5043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Wave</w:t>
            </w:r>
          </w:p>
        </w:tc>
        <w:tc>
          <w:tcPr>
            <w:tcW w:type="dxa" w:w="5043"/>
            <w:shd w:fill="EAF1FB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143055"/>
                <w:sz w:val="19"/>
              </w:rPr>
              <w:t>Componenti prioritari</w:t>
            </w:r>
          </w:p>
        </w:tc>
      </w:tr>
      <w:tr>
        <w:tc>
          <w:tcPr>
            <w:tcW w:type="dxa" w:w="170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Wave 1</w:t>
            </w:r>
          </w:p>
        </w:tc>
        <w:tc>
          <w:tcPr>
            <w:tcW w:type="dxa" w:w="793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AppShell, SidebarNav, TopBar, PageHeader, Button, TextInput, Select, SegmentedBoolean</w:t>
            </w:r>
          </w:p>
        </w:tc>
      </w:tr>
      <w:tr>
        <w:tc>
          <w:tcPr>
            <w:tcW w:type="dxa" w:w="170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Wave 2</w:t>
            </w:r>
          </w:p>
        </w:tc>
        <w:tc>
          <w:tcPr>
            <w:tcW w:type="dxa" w:w="793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KpiCard, StatusBadge, DataTable, Tabs, FiltersBar, Empty / Loading / Error states</w:t>
            </w:r>
          </w:p>
        </w:tc>
      </w:tr>
      <w:tr>
        <w:tc>
          <w:tcPr>
            <w:tcW w:type="dxa" w:w="170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Wave 3</w:t>
            </w:r>
          </w:p>
        </w:tc>
        <w:tc>
          <w:tcPr>
            <w:tcW w:type="dxa" w:w="793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EntityDrawer, ModalDialog, Timeline, FeedLive, RowActionMenu</w:t>
            </w:r>
          </w:p>
        </w:tc>
      </w:tr>
      <w:tr>
        <w:tc>
          <w:tcPr>
            <w:tcW w:type="dxa" w:w="1701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Wave 4</w:t>
            </w:r>
          </w:p>
        </w:tc>
        <w:tc>
          <w:tcPr>
            <w:tcW w:type="dxa" w:w="793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r>
              <w:rPr>
                <w:rFonts w:ascii="Inter" w:hAnsi="Inter" w:eastAsia="Inter"/>
                <w:b w:val="0"/>
                <w:i w:val="0"/>
                <w:sz w:val="19"/>
              </w:rPr>
              <w:t>ScannerModeInput, TaskQueueCard, PhaseActionBar, TouchSummaryPanel, LabelEditorCanvas, GenealogyGraph</w:t>
            </w:r>
          </w:p>
        </w:tc>
      </w:tr>
    </w:tbl>
    <w:p/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8. Template minimo di scheda componente</w:t>
      </w:r>
    </w:p>
    <w:p>
      <w:pPr>
        <w:spacing w:after="80" w:line="283" w:lineRule="auto"/>
      </w:pPr>
      <w:r>
        <w:rPr>
          <w:rFonts w:ascii="Inter" w:hAnsi="Inter" w:eastAsia="Inter"/>
          <w:b w:val="0"/>
          <w:i w:val="0"/>
        </w:rPr>
        <w:t>Nel documento finale completo ogni componente andrà presentato con una scheda standard, in modo che la consultazione sia ripetibile e senza zone grigie.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Nome componente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Scopo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Contesti d’uso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Varianti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Stati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Comportamento atteso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Office vs shopfloor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Do / don’t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Priorità implementativa</w:t>
      </w:r>
    </w:p>
    <w:p>
      <w:pPr>
        <w:spacing w:after="40"/>
        <w:ind w:left="283" w:hanging="227"/>
      </w:pPr>
      <w:r>
        <w:rPr>
          <w:rFonts w:ascii="Inter" w:hAnsi="Inter" w:eastAsia="Inter"/>
          <w:b/>
          <w:i w:val="0"/>
        </w:rPr>
        <w:t xml:space="preserve">• </w:t>
      </w:r>
      <w:r>
        <w:rPr>
          <w:rFonts w:ascii="Inter" w:hAnsi="Inter" w:eastAsia="Inter"/>
          <w:b w:val="0"/>
          <w:i w:val="0"/>
        </w:rPr>
        <w:t>Riferimenti a schermate high-fidelity in cui il componente compare</w:t>
      </w:r>
    </w:p>
    <w:p>
      <w:pPr>
        <w:pStyle w:val="Heading1"/>
        <w:spacing w:before="240" w:after="80"/>
      </w:pPr>
      <w:r>
        <w:rPr>
          <w:rFonts w:ascii="Inter" w:hAnsi="Inter" w:eastAsia="Inter"/>
          <w:b/>
          <w:i w:val="0"/>
        </w:rPr>
        <w:t>9. Chiusura operativa</w:t>
      </w:r>
    </w:p>
    <w:p>
      <w:pPr>
        <w:spacing w:after="80" w:line="283" w:lineRule="auto"/>
      </w:pPr>
      <w:r>
        <w:rPr>
          <w:rFonts w:ascii="Inter" w:hAnsi="Inter" w:eastAsia="Inter"/>
          <w:b w:val="0"/>
          <w:i w:val="0"/>
        </w:rPr>
        <w:t>Questo deliverable deve essere letto come specifica di sistema e non come semplice nota grafica. La sua funzione è ridurre l’ambiguità progettuale, accelerare la costruzione coerente dei componenti base e fare da ponte tra design direction, pagine prioritarie e codice. I componenti qui descritti dovranno confluire nel pacchetto finale insieme al documento master UI/UX, al design system, al wireflow prioritario e all’handoff per Isabell.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85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64748B"/>
        <w:sz w:val="17"/>
      </w:rPr>
      <w:t>Documento di handoff UI/UX per sviluppo · Marit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 w:eastAsia="Inter"/>
        <w:b w:val="0"/>
        <w:i w:val="0"/>
        <w:color w:val="64748B"/>
        <w:sz w:val="17"/>
      </w:rPr>
      <w:t>Esyy Flow · Component Library +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0911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14305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b/>
      <w:color w:val="FFFF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 w:eastAsia="Inter"/>
      <w:i/>
      <w:iCs/>
      <w:color w:val="E2E8F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