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1526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yy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526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b/>
          <w:i w:val="0"/>
          <w:caps/>
          <w:color w:val="143055"/>
          <w:sz w:val="22"/>
        </w:rPr>
        <w:t>ESYY FLOW</w:t>
      </w:r>
    </w:p>
    <w:p>
      <w:pPr>
        <w:spacing w:before="0" w:after="60" w:line="240" w:lineRule="auto"/>
        <w:jc w:val="center"/>
      </w:pPr>
      <w:r>
        <w:rPr>
          <w:rFonts w:ascii="Aptos" w:hAnsi="Aptos" w:eastAsia="Aptos"/>
          <w:b/>
          <w:i w:val="0"/>
          <w:color w:val="09111F"/>
          <w:sz w:val="48"/>
        </w:rPr>
        <w:t>Documento Master UI/UX Finale</w:t>
      </w:r>
    </w:p>
    <w:p>
      <w:pPr>
        <w:spacing w:before="0" w:after="200" w:line="276" w:lineRule="auto"/>
        <w:jc w:val="center"/>
      </w:pPr>
      <w:r>
        <w:rPr>
          <w:rFonts w:ascii="Aptos" w:hAnsi="Aptos" w:eastAsia="Aptos"/>
          <w:b w:val="0"/>
          <w:i w:val="0"/>
          <w:color w:val="5B6778"/>
          <w:sz w:val="25"/>
        </w:rPr>
        <w:t>Principi grafici, regole di interfaccia, gerarchia visiva e comportamento operativo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4F7FD" w:val="clear"/>
            <w:tcMar>
              <w:top w:w="180" w:type="dxa"/>
              <w:start w:w="150" w:type="dxa"/>
              <w:bottom w:w="160" w:type="dxa"/>
              <w:end w:w="15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/>
                <w:b/>
                <w:i w:val="0"/>
                <w:color w:val="09111F"/>
                <w:sz w:val="19"/>
              </w:rPr>
              <w:t>Versione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20"/>
              </w:rPr>
              <w:t>1.0</w:t>
            </w:r>
          </w:p>
        </w:tc>
        <w:tc>
          <w:tcPr>
            <w:tcW w:type="dxa" w:w="3324"/>
            <w:shd w:fill="F4F7FD" w:val="clear"/>
            <w:tcMar>
              <w:top w:w="180" w:type="dxa"/>
              <w:start w:w="150" w:type="dxa"/>
              <w:bottom w:w="160" w:type="dxa"/>
              <w:end w:w="15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/>
                <w:b/>
                <w:i w:val="0"/>
                <w:color w:val="09111F"/>
                <w:sz w:val="19"/>
              </w:rPr>
              <w:t>Responsabile UX/UI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20"/>
              </w:rPr>
              <w:t>Marit</w:t>
            </w:r>
          </w:p>
        </w:tc>
        <w:tc>
          <w:tcPr>
            <w:tcW w:type="dxa" w:w="3324"/>
            <w:shd w:fill="F4F7FD" w:val="clear"/>
            <w:tcMar>
              <w:top w:w="180" w:type="dxa"/>
              <w:start w:w="150" w:type="dxa"/>
              <w:bottom w:w="160" w:type="dxa"/>
              <w:end w:w="15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/>
                <w:b/>
                <w:i w:val="0"/>
                <w:color w:val="09111F"/>
                <w:sz w:val="19"/>
              </w:rPr>
              <w:t>Destinatari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20"/>
              </w:rPr>
              <w:t>Michael, Isabell, Larisa, Nikolay, Ole</w:t>
            </w:r>
          </w:p>
        </w:tc>
      </w:tr>
      <w:tr>
        <w:tc>
          <w:tcPr>
            <w:tcW w:type="dxa" w:w="3324"/>
            <w:shd w:fill="FCFCFA" w:val="clear"/>
            <w:tcMar>
              <w:top w:w="180" w:type="dxa"/>
              <w:start w:w="150" w:type="dxa"/>
              <w:bottom w:w="160" w:type="dxa"/>
              <w:end w:w="15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/>
                <w:b/>
                <w:i w:val="0"/>
                <w:color w:val="09111F"/>
                <w:sz w:val="19"/>
              </w:rPr>
              <w:t>Progetto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20"/>
              </w:rPr>
              <w:t>Piattaforma SaaS produzione + MES</w:t>
            </w:r>
          </w:p>
        </w:tc>
        <w:tc>
          <w:tcPr>
            <w:tcW w:type="dxa" w:w="3324"/>
            <w:shd w:fill="FCFCFA" w:val="clear"/>
            <w:tcMar>
              <w:top w:w="180" w:type="dxa"/>
              <w:start w:w="150" w:type="dxa"/>
              <w:bottom w:w="160" w:type="dxa"/>
              <w:end w:w="15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/>
                <w:b/>
                <w:i w:val="0"/>
                <w:color w:val="09111F"/>
                <w:sz w:val="19"/>
              </w:rPr>
              <w:t>Ambienti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20"/>
              </w:rPr>
              <w:t>Office / desktop • Shopfloor / tablet-scanner</w:t>
            </w:r>
          </w:p>
        </w:tc>
        <w:tc>
          <w:tcPr>
            <w:tcW w:type="dxa" w:w="3324"/>
            <w:shd w:fill="FCFCFA" w:val="clear"/>
            <w:tcMar>
              <w:top w:w="180" w:type="dxa"/>
              <w:start w:w="150" w:type="dxa"/>
              <w:bottom w:w="160" w:type="dxa"/>
              <w:end w:w="15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/>
                <w:b/>
                <w:i w:val="0"/>
                <w:color w:val="09111F"/>
                <w:sz w:val="19"/>
              </w:rPr>
              <w:t>Uso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20"/>
              </w:rPr>
              <w:t>Artefatto autorevole di handoff verso sviluppo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F" w:val="clear"/>
            <w:tcBorders>
              <w:left w:val="single" w:sz="8" w:color="B7C7E6"/>
              <w:top w:val="single" w:sz="8" w:color="B7C7E6"/>
              <w:right w:val="single" w:sz="8" w:color="B7C7E6"/>
              <w:bottom w:val="single" w:sz="8" w:color="B7C7E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Scopo del deliverable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20"/>
              </w:rPr>
              <w:t>Questo documento consolida le decisioni UI/UX trasversali del prodotto e definisce come devono comportarsi le pagine, i pattern di navigazione, i livelli informativi e le interazioni. Non sostituisce il Design System, la Component Library o il documento Wireflow/High-Fidelity: li coordina e li rende leggibili come un unico sistema di progettazione e handoff.</w:t>
            </w:r>
          </w:p>
        </w:tc>
      </w:tr>
    </w:tbl>
    <w:p/>
    <w:p>
      <w:pPr>
        <w:pStyle w:val="Heading2"/>
        <w:spacing w:before="160" w:after="80" w:line="276" w:lineRule="auto"/>
      </w:pPr>
      <w:r>
        <w:rPr>
          <w:rFonts w:ascii="Aptos" w:hAnsi="Aptos" w:eastAsia="Aptos"/>
          <w:b/>
          <w:i w:val="0"/>
          <w:color w:val="143055"/>
          <w:sz w:val="26"/>
        </w:rPr>
        <w:t>Struttura del documento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Visione UX di prodotto e principi guida.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Regole di gerarchia visiva, navigazione e comportamento dell'interfaccia.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Differenze nette tra esperienza office e shopfloor.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Pattern trasversali: badge, drawer, modali, tabelle, card, timeline, viste grafiche.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Terminologia comune da mantenere coerente in design e sviluppo.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Regole di handoff: ciò che è vincolante e ciò che può essere adattato da Isabell.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ptos" w:hAnsi="Aptos" w:eastAsia="Aptos"/>
          <w:b/>
          <w:i w:val="0"/>
          <w:color w:val="09111F"/>
          <w:sz w:val="36"/>
        </w:rPr>
        <w:t>1. Visione di prodotto e principi guida</w:t>
      </w:r>
    </w:p>
    <w:p>
      <w:pPr>
        <w:spacing w:before="0" w:after="160" w:line="276" w:lineRule="auto"/>
      </w:pPr>
      <w:r>
        <w:rPr>
          <w:rFonts w:ascii="Aptos" w:hAnsi="Aptos" w:eastAsia="Aptos"/>
          <w:b w:val="0"/>
          <w:i w:val="0"/>
          <w:color w:val="5B6778"/>
          <w:sz w:val="21"/>
        </w:rPr>
        <w:t>Documento master di regia UX/UI. Coordina le decisioni già consolidate e le traduce in regole trasversali di progettazione e handoff.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Il prodotto è una piattaforma web SaaS per produzione discreta e su commessa, con estensione MES shopfloor e gestione nativa del conto lavoro attivo e passivo.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L'esperienza deve risultare professionale e leggibile in area office, ma molto più task-first, touch-first e rugged in area shopfloor.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La commessa resta il contenitore operativo centrale; DIBA, distinta ciclo e modello produttivo restano librerie separate dalle istanze operative reali come ODP, fasi e materiali effettivi.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L'interfaccia deve supportare feed live, audit, tracciabilità, etichette, missioni materiale e viste grafiche realmente operative.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91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Principio</w:t>
            </w:r>
          </w:p>
        </w:tc>
        <w:tc>
          <w:tcPr>
            <w:tcW w:type="dxa" w:w="6066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Applicazione pratica</w:t>
            </w:r>
          </w:p>
        </w:tc>
      </w:tr>
      <w:tr>
        <w:tc>
          <w:tcPr>
            <w:tcW w:type="dxa" w:w="2891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Chiarezza prima di tutto</w:t>
            </w:r>
          </w:p>
        </w:tc>
        <w:tc>
          <w:tcPr>
            <w:tcW w:type="dxa" w:w="6066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La UI non deve premiare la decorazione, ma la leggibilità dello stato, del contesto e dell'azione primaria disponibile.</w:t>
            </w:r>
          </w:p>
        </w:tc>
      </w:tr>
      <w:tr>
        <w:tc>
          <w:tcPr>
            <w:tcW w:type="dxa" w:w="2891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Progressive disclosure</w:t>
            </w:r>
          </w:p>
        </w:tc>
        <w:tc>
          <w:tcPr>
            <w:tcW w:type="dxa" w:w="6066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La vista principale mostra l'essenziale; il dettaglio avanzato emerge in drawer, modali o schede dedicate.</w:t>
            </w:r>
          </w:p>
        </w:tc>
      </w:tr>
      <w:tr>
        <w:tc>
          <w:tcPr>
            <w:tcW w:type="dxa" w:w="2891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Contesto sempre visibile</w:t>
            </w:r>
          </w:p>
        </w:tc>
        <w:tc>
          <w:tcPr>
            <w:tcW w:type="dxa" w:w="6066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In qualsiasi vista operativa l'utente deve capire immediatamente commessa, ODP, fase, lotto, terzista, stato e urgenza.</w:t>
            </w:r>
          </w:p>
        </w:tc>
      </w:tr>
      <w:tr>
        <w:tc>
          <w:tcPr>
            <w:tcW w:type="dxa" w:w="2891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Coerenza cross-modulo</w:t>
            </w:r>
          </w:p>
        </w:tc>
        <w:tc>
          <w:tcPr>
            <w:tcW w:type="dxa" w:w="6066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Oggetti differenti possono avere contenuti diversi, ma la grammatica dell'interfaccia deve restare stabile tra moduli.</w:t>
            </w:r>
          </w:p>
        </w:tc>
      </w:tr>
      <w:tr>
        <w:tc>
          <w:tcPr>
            <w:tcW w:type="dxa" w:w="2891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Distinzione ambientale forte</w:t>
            </w:r>
          </w:p>
        </w:tc>
        <w:tc>
          <w:tcPr>
            <w:tcW w:type="dxa" w:w="6066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Office e shopfloor appartengono allo stesso prodotto, ma non devono sembrare la stessa interfaccia riadattata.</w:t>
            </w:r>
          </w:p>
        </w:tc>
      </w:tr>
      <w:tr>
        <w:tc>
          <w:tcPr>
            <w:tcW w:type="dxa" w:w="2891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Gerarchia del rischio</w:t>
            </w:r>
          </w:p>
        </w:tc>
        <w:tc>
          <w:tcPr>
            <w:tcW w:type="dxa" w:w="6066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Stati, ritardi, blocchi, anomalie, qualità e differenze materiali devono emergere prima dei dettagli secondari.</w:t>
            </w:r>
          </w:p>
        </w:tc>
      </w:tr>
    </w:tbl>
    <w:p/>
    <w:p>
      <w:pPr>
        <w:pStyle w:val="Heading1"/>
        <w:spacing w:before="200" w:after="80" w:line="240" w:lineRule="auto"/>
      </w:pPr>
      <w:r>
        <w:rPr>
          <w:rFonts w:ascii="Aptos" w:hAnsi="Aptos" w:eastAsia="Aptos"/>
          <w:b/>
          <w:i w:val="0"/>
          <w:color w:val="09111F"/>
          <w:sz w:val="36"/>
        </w:rPr>
        <w:t>2. Due famiglie di esperienza: office e shopfloor</w:t>
      </w:r>
    </w:p>
    <w:p>
      <w:pPr>
        <w:spacing w:before="0" w:after="160" w:line="276" w:lineRule="auto"/>
      </w:pPr>
      <w:r>
        <w:rPr>
          <w:rFonts w:ascii="Aptos" w:hAnsi="Aptos" w:eastAsia="Aptos"/>
          <w:b w:val="0"/>
          <w:i w:val="0"/>
          <w:color w:val="5B6778"/>
          <w:sz w:val="21"/>
        </w:rPr>
        <w:t>Il prodotto deve apparire unitario a livello di brand, ma chiaramente differenziato in base al contesto d'uso.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24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Ambiente</w:t>
            </w:r>
          </w:p>
        </w:tc>
        <w:tc>
          <w:tcPr>
            <w:tcW w:type="dxa" w:w="6633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Regole principali</w:t>
            </w:r>
          </w:p>
        </w:tc>
      </w:tr>
      <w:tr>
        <w:tc>
          <w:tcPr>
            <w:tcW w:type="dxa" w:w="2324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Office / desktop</w:t>
            </w:r>
          </w:p>
        </w:tc>
        <w:tc>
          <w:tcPr>
            <w:tcW w:type="dxa" w:w="6633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pStyle w:val="ListBullet"/>
              <w:spacing w:before="0" w:after="20" w:line="252" w:lineRule="auto"/>
              <w:ind w:left="198" w:hanging="85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Interfaccia chiara, pulita, professionale.</w:t>
            </w:r>
          </w:p>
          <w:p>
            <w:pPr>
              <w:pStyle w:val="ListBullet"/>
              <w:spacing w:before="0" w:after="20" w:line="252" w:lineRule="auto"/>
              <w:ind w:left="198" w:hanging="85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Densità controllata ma relativamente alta.</w:t>
            </w:r>
          </w:p>
          <w:p>
            <w:pPr>
              <w:pStyle w:val="ListBullet"/>
              <w:spacing w:before="0" w:after="20" w:line="252" w:lineRule="auto"/>
              <w:ind w:left="198" w:hanging="85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Navigazione laterale per aree funzionali.</w:t>
            </w:r>
          </w:p>
          <w:p>
            <w:pPr>
              <w:pStyle w:val="ListBullet"/>
              <w:spacing w:before="0" w:after="20" w:line="252" w:lineRule="auto"/>
              <w:ind w:left="198" w:hanging="85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Forte uso di tabelle, overview, filtri, drawer e page detail.</w:t>
            </w:r>
          </w:p>
          <w:p>
            <w:pPr>
              <w:pStyle w:val="ListBullet"/>
              <w:spacing w:before="0" w:after="20" w:line="252" w:lineRule="auto"/>
              <w:ind w:left="198" w:hanging="85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Pensata per pianificazione, controllo, configurazione e analisi.</w:t>
            </w:r>
          </w:p>
        </w:tc>
      </w:tr>
      <w:tr>
        <w:tc>
          <w:tcPr>
            <w:tcW w:type="dxa" w:w="2324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Shopfloor / tablet-scanner</w:t>
            </w:r>
          </w:p>
        </w:tc>
        <w:tc>
          <w:tcPr>
            <w:tcW w:type="dxa" w:w="6633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pStyle w:val="ListBullet"/>
              <w:spacing w:before="0" w:after="20" w:line="252" w:lineRule="auto"/>
              <w:ind w:left="198" w:hanging="85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Interfaccia scura, rugged, leggibile in ambiente di fabbrica.</w:t>
            </w:r>
          </w:p>
          <w:p>
            <w:pPr>
              <w:pStyle w:val="ListBullet"/>
              <w:spacing w:before="0" w:after="20" w:line="252" w:lineRule="auto"/>
              <w:ind w:left="198" w:hanging="85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Poche azioni grandi e primarie per vista.</w:t>
            </w:r>
          </w:p>
          <w:p>
            <w:pPr>
              <w:pStyle w:val="ListBullet"/>
              <w:spacing w:before="0" w:after="20" w:line="252" w:lineRule="auto"/>
              <w:ind w:left="198" w:hanging="85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Contenuto ridotto all'essenziale del compito.</w:t>
            </w:r>
          </w:p>
          <w:p>
            <w:pPr>
              <w:pStyle w:val="ListBullet"/>
              <w:spacing w:before="0" w:after="20" w:line="252" w:lineRule="auto"/>
              <w:ind w:left="198" w:hanging="85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Uso naturale di scanner mode, card operative, pulsanti touch-first e stati molto visibili.</w:t>
            </w:r>
          </w:p>
          <w:p>
            <w:pPr>
              <w:pStyle w:val="ListBullet"/>
              <w:spacing w:before="0" w:after="20" w:line="252" w:lineRule="auto"/>
              <w:ind w:left="198" w:hanging="85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Pensata per esecuzione rapida, conferma, dichiarazione, prelievo e chiusura fase.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F" w:val="clear"/>
            <w:tcBorders>
              <w:left w:val="single" w:sz="8" w:color="B7C7E6"/>
              <w:top w:val="single" w:sz="8" w:color="B7C7E6"/>
              <w:right w:val="single" w:sz="8" w:color="B7C7E6"/>
              <w:bottom w:val="single" w:sz="8" w:color="B7C7E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Decisione di baseline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20"/>
              </w:rPr>
              <w:t>L'office UI usa un linguaggio chiaro, pulito, professionale e data-centric. Lo shopfloor usa un linguaggio scuro, rugged e touch-first. I due ambienti condividono semantica, componenti di famiglia e nomenclatura, ma non densità, contrasto e priorità visiva.</w:t>
            </w:r>
          </w:p>
        </w:tc>
      </w:tr>
    </w:tbl>
    <w:p/>
    <w:p>
      <w:pPr>
        <w:pStyle w:val="Heading1"/>
        <w:spacing w:before="200" w:after="80" w:line="240" w:lineRule="auto"/>
      </w:pPr>
      <w:r>
        <w:rPr>
          <w:rFonts w:ascii="Aptos" w:hAnsi="Aptos" w:eastAsia="Aptos"/>
          <w:b/>
          <w:i w:val="0"/>
          <w:color w:val="09111F"/>
          <w:sz w:val="36"/>
        </w:rPr>
        <w:t>3. Gerarchia visiva e grammatica della pagina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57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Livello</w:t>
            </w:r>
          </w:p>
        </w:tc>
        <w:tc>
          <w:tcPr>
            <w:tcW w:type="dxa" w:w="2438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Funzione</w:t>
            </w:r>
          </w:p>
        </w:tc>
        <w:tc>
          <w:tcPr>
            <w:tcW w:type="dxa" w:w="4762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Regola di uso</w:t>
            </w:r>
          </w:p>
        </w:tc>
      </w:tr>
      <w:tr>
        <w:tc>
          <w:tcPr>
            <w:tcW w:type="dxa" w:w="1757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Titolo pagina</w:t>
            </w:r>
          </w:p>
        </w:tc>
        <w:tc>
          <w:tcPr>
            <w:tcW w:type="dxa" w:w="2438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Introduce il contesto primario della vista.</w:t>
            </w:r>
          </w:p>
        </w:tc>
        <w:tc>
          <w:tcPr>
            <w:tcW w:type="dxa" w:w="4762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Visibile all'ingresso; sempre accompagnato da metadata essenziali.</w:t>
            </w:r>
          </w:p>
        </w:tc>
      </w:tr>
      <w:tr>
        <w:tc>
          <w:tcPr>
            <w:tcW w:type="dxa" w:w="1757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Metadata band</w:t>
            </w:r>
          </w:p>
        </w:tc>
        <w:tc>
          <w:tcPr>
            <w:tcW w:type="dxa" w:w="2438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Mostra i riferimenti contestuali: codice, stato, origine, tenant, attori, date.</w:t>
            </w:r>
          </w:p>
        </w:tc>
        <w:tc>
          <w:tcPr>
            <w:tcW w:type="dxa" w:w="4762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Sempre sopra il contenuto principale nelle pagine di dettaglio.</w:t>
            </w:r>
          </w:p>
        </w:tc>
      </w:tr>
      <w:tr>
        <w:tc>
          <w:tcPr>
            <w:tcW w:type="dxa" w:w="1757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KPI / summary cards</w:t>
            </w:r>
          </w:p>
        </w:tc>
        <w:tc>
          <w:tcPr>
            <w:tcW w:type="dxa" w:w="2438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Sintetizzano numeri e criticità navigabili.</w:t>
            </w:r>
          </w:p>
        </w:tc>
        <w:tc>
          <w:tcPr>
            <w:tcW w:type="dxa" w:w="4762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Utilizzate per orientamento rapido, non per sostituire il dettaglio.</w:t>
            </w:r>
          </w:p>
        </w:tc>
      </w:tr>
      <w:tr>
        <w:tc>
          <w:tcPr>
            <w:tcW w:type="dxa" w:w="1757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Sezioni operative</w:t>
            </w:r>
          </w:p>
        </w:tc>
        <w:tc>
          <w:tcPr>
            <w:tcW w:type="dxa" w:w="2438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Blocchi principali della pagina: tab, liste, tabelle, timeline, drawer.</w:t>
            </w:r>
          </w:p>
        </w:tc>
        <w:tc>
          <w:tcPr>
            <w:tcW w:type="dxa" w:w="4762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L'ordine segue il peso decisionale, non l'ordine tecnico dei dati.</w:t>
            </w:r>
          </w:p>
        </w:tc>
      </w:tr>
      <w:tr>
        <w:tc>
          <w:tcPr>
            <w:tcW w:type="dxa" w:w="1757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Informazioni secondarie</w:t>
            </w:r>
          </w:p>
        </w:tc>
        <w:tc>
          <w:tcPr>
            <w:tcW w:type="dxa" w:w="2438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Storico, allegati, note, audit, dati complementari.</w:t>
            </w:r>
          </w:p>
        </w:tc>
        <w:tc>
          <w:tcPr>
            <w:tcW w:type="dxa" w:w="4762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Collocate in aree meno prominenti o in overlay contestuali.</w:t>
            </w:r>
          </w:p>
        </w:tc>
      </w:tr>
    </w:tbl>
    <w:p/>
    <w:p>
      <w:pPr>
        <w:pStyle w:val="Heading2"/>
        <w:spacing w:before="160" w:after="80" w:line="276" w:lineRule="auto"/>
      </w:pPr>
      <w:r>
        <w:rPr>
          <w:rFonts w:ascii="Aptos" w:hAnsi="Aptos" w:eastAsia="Aptos"/>
          <w:b/>
          <w:i w:val="0"/>
          <w:color w:val="143055"/>
          <w:sz w:val="26"/>
        </w:rPr>
        <w:t>Regole di leggibilità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Ogni pagina deve rendere chiaro entro pochi secondi: dove mi trovo, quale oggetto sto guardando, qual è il suo stato e qual è l'azione principale disponibile.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Le informazioni critiche non devono essere nascoste sotto pieghe visive o in zone periferiche della pagina.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Il testo secondario deve aiutare a interpretare il contesto, non competere con il contenuto primario.</w:t>
      </w:r>
    </w:p>
    <w:p>
      <w:pPr>
        <w:pStyle w:val="Heading1"/>
        <w:spacing w:before="200" w:after="80" w:line="240" w:lineRule="auto"/>
      </w:pPr>
      <w:r>
        <w:rPr>
          <w:rFonts w:ascii="Aptos" w:hAnsi="Aptos" w:eastAsia="Aptos"/>
          <w:b/>
          <w:i w:val="0"/>
          <w:color w:val="09111F"/>
          <w:sz w:val="36"/>
        </w:rPr>
        <w:t>4. Pattern di navigazione e architettura informativa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Pattern</w:t>
            </w:r>
          </w:p>
        </w:tc>
        <w:tc>
          <w:tcPr>
            <w:tcW w:type="dxa" w:w="6690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Regola</w:t>
            </w:r>
          </w:p>
        </w:tc>
      </w:tr>
      <w:tr>
        <w:tc>
          <w:tcPr>
            <w:tcW w:type="dxa" w:w="2268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App shell</w:t>
            </w:r>
          </w:p>
        </w:tc>
        <w:tc>
          <w:tcPr>
            <w:tcW w:type="dxa" w:w="6690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Sidebar laterale stabile, topbar leggera, area contenuto ampia e leggibile.</w:t>
            </w:r>
          </w:p>
        </w:tc>
      </w:tr>
      <w:tr>
        <w:tc>
          <w:tcPr>
            <w:tcW w:type="dxa" w:w="2268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Sidebar</w:t>
            </w:r>
          </w:p>
        </w:tc>
        <w:tc>
          <w:tcPr>
            <w:tcW w:type="dxa" w:w="6690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Navigazione per aree funzionali approvate: Dashboard, Anagrafiche, Commesse, ODP, Pianificazione, Reparto MES, Conto Lavoro operativo, Qualità, Tracciabilità, Report, Integrazioni ERP, Utenti e ruoli, Impostazioni tenant, Abbonamento.</w:t>
            </w:r>
          </w:p>
        </w:tc>
      </w:tr>
      <w:tr>
        <w:tc>
          <w:tcPr>
            <w:tcW w:type="dxa" w:w="2268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Page header</w:t>
            </w:r>
          </w:p>
        </w:tc>
        <w:tc>
          <w:tcPr>
            <w:tcW w:type="dxa" w:w="6690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Titolo pagina, contesto, stato, eventuale CTA primaria e secondaria.</w:t>
            </w:r>
          </w:p>
        </w:tc>
      </w:tr>
      <w:tr>
        <w:tc>
          <w:tcPr>
            <w:tcW w:type="dxa" w:w="2268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Tabs</w:t>
            </w:r>
          </w:p>
        </w:tc>
        <w:tc>
          <w:tcPr>
            <w:tcW w:type="dxa" w:w="6690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Usate per separare viste sorelle dello stesso oggetto; l'utente non deve perdere il contesto entrando nella tab.</w:t>
            </w:r>
          </w:p>
        </w:tc>
      </w:tr>
      <w:tr>
        <w:tc>
          <w:tcPr>
            <w:tcW w:type="dxa" w:w="2268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Linked entities</w:t>
            </w:r>
          </w:p>
        </w:tc>
        <w:tc>
          <w:tcPr>
            <w:tcW w:type="dxa" w:w="6690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Rimandi interni evidenziati in modo coerente; non hyperlink web standard, ma segnali di navigazione interna al dominio.</w:t>
            </w:r>
          </w:p>
        </w:tc>
      </w:tr>
      <w:tr>
        <w:tc>
          <w:tcPr>
            <w:tcW w:type="dxa" w:w="2268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Breadcrumbs</w:t>
            </w:r>
          </w:p>
        </w:tc>
        <w:tc>
          <w:tcPr>
            <w:tcW w:type="dxa" w:w="6690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Usati con moderazione nelle catene gerarchiche lunghe o quando aiutano il rientro nel flusso.</w:t>
            </w:r>
          </w:p>
        </w:tc>
      </w:tr>
    </w:tbl>
    <w:p/>
    <w:p>
      <w:pPr>
        <w:pStyle w:val="Heading2"/>
        <w:spacing w:before="160" w:after="80" w:line="276" w:lineRule="auto"/>
      </w:pPr>
      <w:r>
        <w:rPr>
          <w:rFonts w:ascii="Aptos" w:hAnsi="Aptos" w:eastAsia="Aptos"/>
          <w:b/>
          <w:i w:val="0"/>
          <w:color w:val="143055"/>
          <w:sz w:val="26"/>
        </w:rPr>
        <w:t>Aree funzionali approvate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Dashboard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Anagrafiche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Commesse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ODP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Pianificazione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Reparto MES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Conto Lavoro operativo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Qualità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Tracciabilità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Report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Integrazioni ERP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Utenti e ruoli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Impostazioni tenant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Abbonamento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ptos" w:hAnsi="Aptos" w:eastAsia="Aptos"/>
          <w:b/>
          <w:i w:val="0"/>
          <w:color w:val="09111F"/>
          <w:sz w:val="36"/>
        </w:rPr>
        <w:t>5. Regole di interfaccia e comportamento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98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Elemento</w:t>
            </w:r>
          </w:p>
        </w:tc>
        <w:tc>
          <w:tcPr>
            <w:tcW w:type="dxa" w:w="2381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Quando usarlo</w:t>
            </w:r>
          </w:p>
        </w:tc>
        <w:tc>
          <w:tcPr>
            <w:tcW w:type="dxa" w:w="4479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Regola chiave</w:t>
            </w:r>
          </w:p>
        </w:tc>
      </w:tr>
      <w:tr>
        <w:tc>
          <w:tcPr>
            <w:tcW w:type="dxa" w:w="2098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CTA primaria</w:t>
            </w:r>
          </w:p>
        </w:tc>
        <w:tc>
          <w:tcPr>
            <w:tcW w:type="dxa" w:w="2381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Una sola per area/visita principale</w:t>
            </w:r>
          </w:p>
        </w:tc>
        <w:tc>
          <w:tcPr>
            <w:tcW w:type="dxa" w:w="4479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Deve emergere visivamente e rappresentare l'azione attesa più utile.</w:t>
            </w:r>
          </w:p>
        </w:tc>
      </w:tr>
      <w:tr>
        <w:tc>
          <w:tcPr>
            <w:tcW w:type="dxa" w:w="2098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CTA secondaria</w:t>
            </w:r>
          </w:p>
        </w:tc>
        <w:tc>
          <w:tcPr>
            <w:tcW w:type="dxa" w:w="2381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Supporto non dominante</w:t>
            </w:r>
          </w:p>
        </w:tc>
        <w:tc>
          <w:tcPr>
            <w:tcW w:type="dxa" w:w="4479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Serve come alternativa, non come competizione alla primaria.</w:t>
            </w:r>
          </w:p>
        </w:tc>
      </w:tr>
      <w:tr>
        <w:tc>
          <w:tcPr>
            <w:tcW w:type="dxa" w:w="2098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Drawer</w:t>
            </w:r>
          </w:p>
        </w:tc>
        <w:tc>
          <w:tcPr>
            <w:tcW w:type="dxa" w:w="2381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Dettaglio contestuale, editing focalizzato, azioni fase/materiale</w:t>
            </w:r>
          </w:p>
        </w:tc>
        <w:tc>
          <w:tcPr>
            <w:tcW w:type="dxa" w:w="4479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Non deve far perdere il contesto della pagina sottostante.</w:t>
            </w:r>
          </w:p>
        </w:tc>
      </w:tr>
      <w:tr>
        <w:tc>
          <w:tcPr>
            <w:tcW w:type="dxa" w:w="2098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Modal</w:t>
            </w:r>
          </w:p>
        </w:tc>
        <w:tc>
          <w:tcPr>
            <w:tcW w:type="dxa" w:w="2381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Conferme, micro-flow, decisioni irreversibili</w:t>
            </w:r>
          </w:p>
        </w:tc>
        <w:tc>
          <w:tcPr>
            <w:tcW w:type="dxa" w:w="4479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Va usata con parsimonia; non per contenuti complessi e lunghi.</w:t>
            </w:r>
          </w:p>
        </w:tc>
      </w:tr>
      <w:tr>
        <w:tc>
          <w:tcPr>
            <w:tcW w:type="dxa" w:w="2098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Quick actions</w:t>
            </w:r>
          </w:p>
        </w:tc>
        <w:tc>
          <w:tcPr>
            <w:tcW w:type="dxa" w:w="2381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Azioni leggere da riga/tabella/card</w:t>
            </w:r>
          </w:p>
        </w:tc>
        <w:tc>
          <w:tcPr>
            <w:tcW w:type="dxa" w:w="4479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Devono restare leggibili e non creare ambiguità sul target.</w:t>
            </w:r>
          </w:p>
        </w:tc>
      </w:tr>
      <w:tr>
        <w:tc>
          <w:tcPr>
            <w:tcW w:type="dxa" w:w="2098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Progressive disclosure</w:t>
            </w:r>
          </w:p>
        </w:tc>
        <w:tc>
          <w:tcPr>
            <w:tcW w:type="dxa" w:w="2381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Riduzione del rumore informativo</w:t>
            </w:r>
          </w:p>
        </w:tc>
        <w:tc>
          <w:tcPr>
            <w:tcW w:type="dxa" w:w="4479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La vista base resta sintetica; il sistema rivela il dettaglio quando serve.</w:t>
            </w:r>
          </w:p>
        </w:tc>
      </w:tr>
    </w:tbl>
    <w:p/>
    <w:p>
      <w:pPr>
        <w:pStyle w:val="Heading2"/>
        <w:spacing w:before="160" w:after="80" w:line="276" w:lineRule="auto"/>
      </w:pPr>
      <w:r>
        <w:rPr>
          <w:rFonts w:ascii="Aptos" w:hAnsi="Aptos" w:eastAsia="Aptos"/>
          <w:b/>
          <w:i w:val="0"/>
          <w:color w:val="143055"/>
          <w:sz w:val="26"/>
        </w:rPr>
        <w:t>Pattern trasversali da mantenere coerenti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1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Pattern</w:t>
            </w:r>
          </w:p>
        </w:tc>
        <w:tc>
          <w:tcPr>
            <w:tcW w:type="dxa" w:w="2268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Uso</w:t>
            </w:r>
          </w:p>
        </w:tc>
        <w:tc>
          <w:tcPr>
            <w:tcW w:type="dxa" w:w="4819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Nota</w:t>
            </w:r>
          </w:p>
        </w:tc>
      </w:tr>
      <w:tr>
        <w:tc>
          <w:tcPr>
            <w:tcW w:type="dxa" w:w="1871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Status badge</w:t>
            </w:r>
          </w:p>
        </w:tc>
        <w:tc>
          <w:tcPr>
            <w:tcW w:type="dxa" w:w="2268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Stato, severità o natura</w:t>
            </w:r>
          </w:p>
        </w:tc>
        <w:tc>
          <w:tcPr>
            <w:tcW w:type="dxa" w:w="4819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Un vocabolario coerente, mai decorativo o ridondante.</w:t>
            </w:r>
          </w:p>
        </w:tc>
      </w:tr>
      <w:tr>
        <w:tc>
          <w:tcPr>
            <w:tcW w:type="dxa" w:w="1871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KPI card</w:t>
            </w:r>
          </w:p>
        </w:tc>
        <w:tc>
          <w:tcPr>
            <w:tcW w:type="dxa" w:w="2268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Numero sintetico + trend/alert</w:t>
            </w:r>
          </w:p>
        </w:tc>
        <w:tc>
          <w:tcPr>
            <w:tcW w:type="dxa" w:w="4819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Navigabile quando apre un dettaglio utile.</w:t>
            </w:r>
          </w:p>
        </w:tc>
      </w:tr>
      <w:tr>
        <w:tc>
          <w:tcPr>
            <w:tcW w:type="dxa" w:w="1871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Data table</w:t>
            </w:r>
          </w:p>
        </w:tc>
        <w:tc>
          <w:tcPr>
            <w:tcW w:type="dxa" w:w="2268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Lettura comparativa e operativa</w:t>
            </w:r>
          </w:p>
        </w:tc>
        <w:tc>
          <w:tcPr>
            <w:tcW w:type="dxa" w:w="4819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Header ordinabili, densità controllata, righe espandibili quando serve.</w:t>
            </w:r>
          </w:p>
        </w:tc>
      </w:tr>
      <w:tr>
        <w:tc>
          <w:tcPr>
            <w:tcW w:type="dxa" w:w="1871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Timeline / feed</w:t>
            </w:r>
          </w:p>
        </w:tc>
        <w:tc>
          <w:tcPr>
            <w:tcW w:type="dxa" w:w="2268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Cronologia eventi e avanzamenti</w:t>
            </w:r>
          </w:p>
        </w:tc>
        <w:tc>
          <w:tcPr>
            <w:tcW w:type="dxa" w:w="4819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Deve usare timestamp, origine evento e segnali di stato sobri.</w:t>
            </w:r>
          </w:p>
        </w:tc>
      </w:tr>
      <w:tr>
        <w:tc>
          <w:tcPr>
            <w:tcW w:type="dxa" w:w="1871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Graph / genealogy</w:t>
            </w:r>
          </w:p>
        </w:tc>
        <w:tc>
          <w:tcPr>
            <w:tcW w:type="dxa" w:w="2268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Relazioni o genealogia operative</w:t>
            </w:r>
          </w:p>
        </w:tc>
        <w:tc>
          <w:tcPr>
            <w:tcW w:type="dxa" w:w="4819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Non illustrazione: deve supportare drill-down, lettura e, dove previsto, editing.</w:t>
            </w:r>
          </w:p>
        </w:tc>
      </w:tr>
      <w:tr>
        <w:tc>
          <w:tcPr>
            <w:tcW w:type="dxa" w:w="1871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Form system</w:t>
            </w:r>
          </w:p>
        </w:tc>
        <w:tc>
          <w:tcPr>
            <w:tcW w:type="dxa" w:w="2268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Inserimento/configurazione</w:t>
            </w:r>
          </w:p>
        </w:tc>
        <w:tc>
          <w:tcPr>
            <w:tcW w:type="dxa" w:w="4819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Campi booleani via segmented control, validazione leggibile, helper text contestuale.</w:t>
            </w:r>
          </w:p>
        </w:tc>
      </w:tr>
    </w:tbl>
    <w:p/>
    <w:p>
      <w:pPr>
        <w:pStyle w:val="Heading1"/>
        <w:spacing w:before="200" w:after="80" w:line="240" w:lineRule="auto"/>
      </w:pPr>
      <w:r>
        <w:rPr>
          <w:rFonts w:ascii="Aptos" w:hAnsi="Aptos" w:eastAsia="Aptos"/>
          <w:b/>
          <w:i w:val="0"/>
          <w:color w:val="09111F"/>
          <w:sz w:val="36"/>
        </w:rPr>
        <w:t>6. State system e feedback utente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Stato</w:t>
            </w:r>
          </w:p>
        </w:tc>
        <w:tc>
          <w:tcPr>
            <w:tcW w:type="dxa" w:w="3515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Comportamento richiesto</w:t>
            </w:r>
          </w:p>
        </w:tc>
        <w:tc>
          <w:tcPr>
            <w:tcW w:type="dxa" w:w="3742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Nota</w:t>
            </w:r>
          </w:p>
        </w:tc>
      </w:tr>
      <w:tr>
        <w:tc>
          <w:tcPr>
            <w:tcW w:type="dxa" w:w="1701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Empty</w:t>
            </w:r>
          </w:p>
        </w:tc>
        <w:tc>
          <w:tcPr>
            <w:tcW w:type="dxa" w:w="3515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Messaggio chiaro, spiegazione breve e CTA utile.</w:t>
            </w:r>
          </w:p>
        </w:tc>
        <w:tc>
          <w:tcPr>
            <w:tcW w:type="dxa" w:w="3742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No schermate vuote senza orientamento.</w:t>
            </w:r>
          </w:p>
        </w:tc>
      </w:tr>
      <w:tr>
        <w:tc>
          <w:tcPr>
            <w:tcW w:type="dxa" w:w="1701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Loading</w:t>
            </w:r>
          </w:p>
        </w:tc>
        <w:tc>
          <w:tcPr>
            <w:tcW w:type="dxa" w:w="3515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Skeleton coerente con il layout reale; spinner solo per attese brevi.</w:t>
            </w:r>
          </w:p>
        </w:tc>
        <w:tc>
          <w:tcPr>
            <w:tcW w:type="dxa" w:w="3742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La percezione deve essere di continuità, non di blocco.</w:t>
            </w:r>
          </w:p>
        </w:tc>
      </w:tr>
      <w:tr>
        <w:tc>
          <w:tcPr>
            <w:tcW w:type="dxa" w:w="1701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Error</w:t>
            </w:r>
          </w:p>
        </w:tc>
        <w:tc>
          <w:tcPr>
            <w:tcW w:type="dxa" w:w="3515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Titolo breve, causa umana comprensibile, azione consigliata.</w:t>
            </w:r>
          </w:p>
        </w:tc>
        <w:tc>
          <w:tcPr>
            <w:tcW w:type="dxa" w:w="3742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La severità deve essere chiara ma non isterica.</w:t>
            </w:r>
          </w:p>
        </w:tc>
      </w:tr>
      <w:tr>
        <w:tc>
          <w:tcPr>
            <w:tcW w:type="dxa" w:w="1701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Locked / disabled</w:t>
            </w:r>
          </w:p>
        </w:tc>
        <w:tc>
          <w:tcPr>
            <w:tcW w:type="dxa" w:w="3515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Elemento visibile ma non eseguibile con motivazione disponibile.</w:t>
            </w:r>
          </w:p>
        </w:tc>
        <w:tc>
          <w:tcPr>
            <w:tcW w:type="dxa" w:w="3742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Evitare stati grigi senza spiegazione.</w:t>
            </w:r>
          </w:p>
        </w:tc>
      </w:tr>
      <w:tr>
        <w:tc>
          <w:tcPr>
            <w:tcW w:type="dxa" w:w="1701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Delayed / critical</w:t>
            </w:r>
          </w:p>
        </w:tc>
        <w:tc>
          <w:tcPr>
            <w:tcW w:type="dxa" w:w="3515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Ritardi e criticità emergono con segnali forti ma sobri.</w:t>
            </w:r>
          </w:p>
        </w:tc>
        <w:tc>
          <w:tcPr>
            <w:tcW w:type="dxa" w:w="3742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Usare badge, righe evidenziate e summary card, non allarmi ovunque.</w:t>
            </w:r>
          </w:p>
        </w:tc>
      </w:tr>
      <w:tr>
        <w:tc>
          <w:tcPr>
            <w:tcW w:type="dxa" w:w="1701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Live / updating</w:t>
            </w:r>
          </w:p>
        </w:tc>
        <w:tc>
          <w:tcPr>
            <w:tcW w:type="dxa" w:w="3515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Aggiornamenti in tempo reale con indicazione di origine e ultimo update.</w:t>
            </w:r>
          </w:p>
        </w:tc>
        <w:tc>
          <w:tcPr>
            <w:tcW w:type="dxa" w:w="3742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No blinking; la UI resta stabile.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F" w:val="clear"/>
            <w:tcBorders>
              <w:left w:val="single" w:sz="8" w:color="B7C7E6"/>
              <w:top w:val="single" w:sz="8" w:color="B7C7E6"/>
              <w:right w:val="single" w:sz="8" w:color="B7C7E6"/>
              <w:bottom w:val="single" w:sz="8" w:color="B7C7E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Regola operativa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20"/>
              </w:rPr>
              <w:t>Il sistema visivo deve usare i colori per leggere stato, severità, anomalia e disponibilità. Il colore non è un elemento estetico isolato: è una funzione cognitiva. La stessa semantica deve valere in card, tabelle, feed, drawer e schermate shopfloor.</w:t>
            </w:r>
          </w:p>
        </w:tc>
      </w:tr>
    </w:tbl>
    <w:p/>
    <w:p>
      <w:pPr>
        <w:pStyle w:val="Heading1"/>
        <w:spacing w:before="200" w:after="80" w:line="240" w:lineRule="auto"/>
      </w:pPr>
      <w:r>
        <w:rPr>
          <w:rFonts w:ascii="Aptos" w:hAnsi="Aptos" w:eastAsia="Aptos"/>
          <w:b/>
          <w:i w:val="0"/>
          <w:color w:val="09111F"/>
          <w:sz w:val="36"/>
        </w:rPr>
        <w:t>7. Archetipi di pagina e viste speciali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94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Archetipo</w:t>
            </w:r>
          </w:p>
        </w:tc>
        <w:tc>
          <w:tcPr>
            <w:tcW w:type="dxa" w:w="6463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Contenuto minimo</w:t>
            </w:r>
          </w:p>
        </w:tc>
      </w:tr>
      <w:tr>
        <w:tc>
          <w:tcPr>
            <w:tcW w:type="dxa" w:w="2494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Elenco operativo</w:t>
            </w:r>
          </w:p>
        </w:tc>
        <w:tc>
          <w:tcPr>
            <w:tcW w:type="dxa" w:w="6463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Filtri, tabella/lista, badge di stato, quick actions, KPI sintetici.</w:t>
            </w:r>
          </w:p>
        </w:tc>
      </w:tr>
      <w:tr>
        <w:tc>
          <w:tcPr>
            <w:tcW w:type="dxa" w:w="2494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Dettaglio oggetto</w:t>
            </w:r>
          </w:p>
        </w:tc>
        <w:tc>
          <w:tcPr>
            <w:tcW w:type="dxa" w:w="6463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Testata contestuale, KPI, tab, blocchi principali e drawer operativi.</w:t>
            </w:r>
          </w:p>
        </w:tc>
      </w:tr>
      <w:tr>
        <w:tc>
          <w:tcPr>
            <w:tcW w:type="dxa" w:w="2494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Dashboard</w:t>
            </w:r>
          </w:p>
        </w:tc>
        <w:tc>
          <w:tcPr>
            <w:tcW w:type="dxa" w:w="6463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Panoramica, allerta, accessi rapidi, indicatori navigabili.</w:t>
            </w:r>
          </w:p>
        </w:tc>
      </w:tr>
      <w:tr>
        <w:tc>
          <w:tcPr>
            <w:tcW w:type="dxa" w:w="2494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Vista grafica</w:t>
            </w:r>
          </w:p>
        </w:tc>
        <w:tc>
          <w:tcPr>
            <w:tcW w:type="dxa" w:w="6463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Timeline, mappa relazionale, genealogia, builder di processo.</w:t>
            </w:r>
          </w:p>
        </w:tc>
      </w:tr>
      <w:tr>
        <w:tc>
          <w:tcPr>
            <w:tcW w:type="dxa" w:w="2494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Shopfloor task page</w:t>
            </w:r>
          </w:p>
        </w:tc>
        <w:tc>
          <w:tcPr>
            <w:tcW w:type="dxa" w:w="6463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Coda, avanzamento fase, chiusura fase, missione materiale.</w:t>
            </w:r>
          </w:p>
        </w:tc>
      </w:tr>
      <w:tr>
        <w:tc>
          <w:tcPr>
            <w:tcW w:type="dxa" w:w="2494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Configurazione / settings</w:t>
            </w:r>
          </w:p>
        </w:tc>
        <w:tc>
          <w:tcPr>
            <w:tcW w:type="dxa" w:w="6463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Gruppi funzionali, toggle/segmented controls, audit trail, dipendenze.</w:t>
            </w:r>
          </w:p>
        </w:tc>
      </w:tr>
    </w:tbl>
    <w:p/>
    <w:p>
      <w:pPr>
        <w:pStyle w:val="Heading2"/>
        <w:spacing w:before="160" w:after="80" w:line="276" w:lineRule="auto"/>
      </w:pPr>
      <w:r>
        <w:rPr>
          <w:rFonts w:ascii="Aptos" w:hAnsi="Aptos" w:eastAsia="Aptos"/>
          <w:b/>
          <w:i w:val="0"/>
          <w:color w:val="143055"/>
          <w:sz w:val="26"/>
        </w:rPr>
        <w:t>Viste speciali che richiedono pattern propri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Vista grafica del ciclo / modello produttivo su timeline editabile.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Mappa relazionale della commessa.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Genealogia e ricerca lotti.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Editor visuale etichette.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Feed live degli avanzamenti di ODP e fasi.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Scanner mode per missioni materiale e trasferimenti.</w:t>
      </w:r>
    </w:p>
    <w:p>
      <w:pPr>
        <w:pStyle w:val="Heading1"/>
        <w:spacing w:before="200" w:after="80" w:line="240" w:lineRule="auto"/>
      </w:pPr>
      <w:r>
        <w:rPr>
          <w:rFonts w:ascii="Aptos" w:hAnsi="Aptos" w:eastAsia="Aptos"/>
          <w:b/>
          <w:i w:val="0"/>
          <w:color w:val="09111F"/>
          <w:sz w:val="36"/>
        </w:rPr>
        <w:t>8. Responsive, contesto d'uso e leggibilità ambientale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Le pagine office sono progettate prima per desktop e laptop, con adattamento controllato a tablet orizzontale.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Le pagine shopfloor sono progettate prima per tablet e ambienti con illuminazione variabile, sporco sul display, utilizzo rapido e operatori di età diverse.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Nel contesto scanner/barcode il focus deve essere sul task, con testo leggibile, grandi zone attive e conferme inequivocabili.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La UI shopfloor non deve dipendere da piccoli hover states, micro-icone poco leggibili o gesture ambigue.</w:t>
      </w:r>
    </w:p>
    <w:p>
      <w:pPr>
        <w:pStyle w:val="Heading2"/>
        <w:spacing w:before="160" w:after="80" w:line="276" w:lineRule="auto"/>
      </w:pPr>
      <w:r>
        <w:rPr>
          <w:rFonts w:ascii="Aptos" w:hAnsi="Aptos" w:eastAsia="Aptos"/>
          <w:b/>
          <w:i w:val="0"/>
          <w:color w:val="143055"/>
          <w:sz w:val="26"/>
        </w:rPr>
        <w:t>Checklist minima di leggibilità shopfloor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Contrasto alto, testo grande, priorità visive esplicite.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Poche azioni per schermata e target touch ampi.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Indicatori di stato riconoscibili a colpo d'occhio.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Conferme e differenze quantità/lotti sempre leggibili prima del submit finale.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ptos" w:hAnsi="Aptos" w:eastAsia="Aptos"/>
          <w:b/>
          <w:i w:val="0"/>
          <w:color w:val="09111F"/>
          <w:sz w:val="36"/>
        </w:rPr>
        <w:t>9. Terminologia e coerenza semantica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Termine</w:t>
            </w:r>
          </w:p>
        </w:tc>
        <w:tc>
          <w:tcPr>
            <w:tcW w:type="dxa" w:w="6690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Definizione operativa</w:t>
            </w:r>
          </w:p>
        </w:tc>
      </w:tr>
      <w:tr>
        <w:tc>
          <w:tcPr>
            <w:tcW w:type="dxa" w:w="2268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Badge</w:t>
            </w:r>
          </w:p>
        </w:tc>
        <w:tc>
          <w:tcPr>
            <w:tcW w:type="dxa" w:w="6690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Segnale compatto di stato, natura o severità.</w:t>
            </w:r>
          </w:p>
        </w:tc>
      </w:tr>
      <w:tr>
        <w:tc>
          <w:tcPr>
            <w:tcW w:type="dxa" w:w="2268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Drawer</w:t>
            </w:r>
          </w:p>
        </w:tc>
        <w:tc>
          <w:tcPr>
            <w:tcW w:type="dxa" w:w="6690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Pannello contestuale in sovraimpressione.</w:t>
            </w:r>
          </w:p>
        </w:tc>
      </w:tr>
      <w:tr>
        <w:tc>
          <w:tcPr>
            <w:tcW w:type="dxa" w:w="2268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Modal</w:t>
            </w:r>
          </w:p>
        </w:tc>
        <w:tc>
          <w:tcPr>
            <w:tcW w:type="dxa" w:w="6690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Interruzione centrata per conferma o micro-flow.</w:t>
            </w:r>
          </w:p>
        </w:tc>
      </w:tr>
      <w:tr>
        <w:tc>
          <w:tcPr>
            <w:tcW w:type="dxa" w:w="2268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KPI card</w:t>
            </w:r>
          </w:p>
        </w:tc>
        <w:tc>
          <w:tcPr>
            <w:tcW w:type="dxa" w:w="6690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Componente sintetico numerico, eventualmente navigabile.</w:t>
            </w:r>
          </w:p>
        </w:tc>
      </w:tr>
      <w:tr>
        <w:tc>
          <w:tcPr>
            <w:tcW w:type="dxa" w:w="2268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Timeline</w:t>
            </w:r>
          </w:p>
        </w:tc>
        <w:tc>
          <w:tcPr>
            <w:tcW w:type="dxa" w:w="6690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Vista cronologica di eventi o avanzamenti.</w:t>
            </w:r>
          </w:p>
        </w:tc>
      </w:tr>
      <w:tr>
        <w:tc>
          <w:tcPr>
            <w:tcW w:type="dxa" w:w="2268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Graph / genealogy</w:t>
            </w:r>
          </w:p>
        </w:tc>
        <w:tc>
          <w:tcPr>
            <w:tcW w:type="dxa" w:w="6690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Vista relazionale o genealogica navigabile.</w:t>
            </w:r>
          </w:p>
        </w:tc>
      </w:tr>
      <w:tr>
        <w:tc>
          <w:tcPr>
            <w:tcW w:type="dxa" w:w="2268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Scanner mode</w:t>
            </w:r>
          </w:p>
        </w:tc>
        <w:tc>
          <w:tcPr>
            <w:tcW w:type="dxa" w:w="6690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Modalità d'uso ottimizzata per barcode/scanner e interazioni rapide.</w:t>
            </w:r>
          </w:p>
        </w:tc>
      </w:tr>
      <w:tr>
        <w:tc>
          <w:tcPr>
            <w:tcW w:type="dxa" w:w="2268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Shopfloor</w:t>
            </w:r>
          </w:p>
        </w:tc>
        <w:tc>
          <w:tcPr>
            <w:tcW w:type="dxa" w:w="6690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Ambiente MES/tablet/scanner con pattern dedicati e touch-first.</w:t>
            </w:r>
          </w:p>
        </w:tc>
      </w:tr>
    </w:tbl>
    <w:p/>
    <w:p>
      <w:pPr>
        <w:pStyle w:val="Heading2"/>
        <w:spacing w:before="160" w:after="80" w:line="276" w:lineRule="auto"/>
      </w:pPr>
      <w:r>
        <w:rPr>
          <w:rFonts w:ascii="Aptos" w:hAnsi="Aptos" w:eastAsia="Aptos"/>
          <w:b/>
          <w:i w:val="0"/>
          <w:color w:val="143055"/>
          <w:sz w:val="26"/>
        </w:rPr>
        <w:t>Regole terminologiche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Usare sempre lo stesso termine per lo stesso concetto in tutta l'applicazione.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Evitare sinonimi grafici o funzionali non necessari tra moduli diversi.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Distinguere chiaramente oggetto anagrafico, template e istanza operativa reale.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Rendere leggibile la natura dell'evento: qualità, conto lavoro, produzione, logistica, integrazione.</w:t>
      </w:r>
    </w:p>
    <w:p>
      <w:pPr>
        <w:pStyle w:val="Heading1"/>
        <w:spacing w:before="200" w:after="80" w:line="240" w:lineRule="auto"/>
      </w:pPr>
      <w:r>
        <w:rPr>
          <w:rFonts w:ascii="Aptos" w:hAnsi="Aptos" w:eastAsia="Aptos"/>
          <w:b/>
          <w:i w:val="0"/>
          <w:color w:val="09111F"/>
          <w:sz w:val="36"/>
        </w:rPr>
        <w:t>10. Regole di handoff verso sviluppo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24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Categoria</w:t>
            </w:r>
          </w:p>
        </w:tc>
        <w:tc>
          <w:tcPr>
            <w:tcW w:type="dxa" w:w="6633"/>
            <w:shd w:fill="EAF0FB" w:val="clear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Indicazioni</w:t>
            </w:r>
          </w:p>
        </w:tc>
      </w:tr>
      <w:tr>
        <w:tc>
          <w:tcPr>
            <w:tcW w:type="dxa" w:w="2324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Vincolante</w:t>
            </w:r>
          </w:p>
        </w:tc>
        <w:tc>
          <w:tcPr>
            <w:tcW w:type="dxa" w:w="6633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pStyle w:val="ListBullet"/>
              <w:spacing w:before="0" w:after="20" w:line="252" w:lineRule="auto"/>
              <w:ind w:left="198" w:hanging="85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Separazione office vs shopfloor.</w:t>
            </w:r>
          </w:p>
          <w:p>
            <w:pPr>
              <w:pStyle w:val="ListBullet"/>
              <w:spacing w:before="0" w:after="20" w:line="252" w:lineRule="auto"/>
              <w:ind w:left="198" w:hanging="85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Gerarchia visiva e grammatica di badge, stati, drawer, modali e tabelle.</w:t>
            </w:r>
          </w:p>
          <w:p>
            <w:pPr>
              <w:pStyle w:val="ListBullet"/>
              <w:spacing w:before="0" w:after="20" w:line="252" w:lineRule="auto"/>
              <w:ind w:left="198" w:hanging="85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Terminologia base del prodotto.</w:t>
            </w:r>
          </w:p>
          <w:p>
            <w:pPr>
              <w:pStyle w:val="ListBullet"/>
              <w:spacing w:before="0" w:after="20" w:line="252" w:lineRule="auto"/>
              <w:ind w:left="198" w:hanging="85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Pattern di navigazione e linked entities.</w:t>
            </w:r>
          </w:p>
          <w:p>
            <w:pPr>
              <w:pStyle w:val="ListBullet"/>
              <w:spacing w:before="0" w:after="20" w:line="252" w:lineRule="auto"/>
              <w:ind w:left="198" w:hanging="85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Priorità del compito in area shopfloor.</w:t>
            </w:r>
          </w:p>
        </w:tc>
      </w:tr>
      <w:tr>
        <w:tc>
          <w:tcPr>
            <w:tcW w:type="dxa" w:w="2324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Adattabile</w:t>
            </w:r>
          </w:p>
        </w:tc>
        <w:tc>
          <w:tcPr>
            <w:tcW w:type="dxa" w:w="6633"/>
            <w:shd w:fill="FFFFF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pStyle w:val="ListBullet"/>
              <w:spacing w:before="0" w:after="20" w:line="252" w:lineRule="auto"/>
              <w:ind w:left="198" w:hanging="85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Micro-spaziature e ottimizzazioni di rendering.</w:t>
            </w:r>
          </w:p>
          <w:p>
            <w:pPr>
              <w:pStyle w:val="ListBullet"/>
              <w:spacing w:before="0" w:after="20" w:line="252" w:lineRule="auto"/>
              <w:ind w:left="198" w:hanging="85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Struttura file nel repository.</w:t>
            </w:r>
          </w:p>
          <w:p>
            <w:pPr>
              <w:pStyle w:val="ListBullet"/>
              <w:spacing w:before="0" w:after="20" w:line="252" w:lineRule="auto"/>
              <w:ind w:left="198" w:hanging="85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Implementazione tecnica interna dei componenti, se non altera comportamento e semantica.</w:t>
            </w:r>
          </w:p>
          <w:p>
            <w:pPr>
              <w:pStyle w:val="ListBullet"/>
              <w:spacing w:before="0" w:after="20" w:line="252" w:lineRule="auto"/>
              <w:ind w:left="198" w:hanging="85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Ottimizzazioni progressive del frontend in base a vincoli reali.</w:t>
            </w:r>
          </w:p>
        </w:tc>
      </w:tr>
      <w:tr>
        <w:tc>
          <w:tcPr>
            <w:tcW w:type="dxa" w:w="2324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Riferimento di consumo</w:t>
            </w:r>
          </w:p>
        </w:tc>
        <w:tc>
          <w:tcPr>
            <w:tcW w:type="dxa" w:w="6633"/>
            <w:shd w:fill="FCFCFA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pStyle w:val="ListBullet"/>
              <w:spacing w:before="0" w:after="20" w:line="252" w:lineRule="auto"/>
              <w:ind w:left="198" w:hanging="85"/>
              <w:jc w:val="left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Questo documento va letto insieme a Design System, Component Library + States e Wireflow + High-Fidelity prioritario.</w:t>
            </w:r>
          </w:p>
          <w:p>
            <w:pPr>
              <w:pStyle w:val="ListBullet"/>
              <w:spacing w:before="0" w:after="20" w:line="252" w:lineRule="auto"/>
              <w:ind w:left="198" w:hanging="85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19"/>
              </w:rPr>
              <w:t>Isabell resta libera di ottimizzare l'implementazione, ma non di reinventare la grammatica UX/UI approvata.</w:t>
            </w:r>
          </w:p>
        </w:tc>
      </w:tr>
    </w:tbl>
    <w:p/>
    <w:p>
      <w:pPr>
        <w:pStyle w:val="Heading2"/>
        <w:spacing w:before="160" w:after="80" w:line="276" w:lineRule="auto"/>
      </w:pPr>
      <w:r>
        <w:rPr>
          <w:rFonts w:ascii="Aptos" w:hAnsi="Aptos" w:eastAsia="Aptos"/>
          <w:b/>
          <w:i w:val="0"/>
          <w:color w:val="143055"/>
          <w:sz w:val="26"/>
        </w:rPr>
        <w:t>Ordine di consumo consigliato</w:t>
      </w:r>
    </w:p>
    <w:p>
      <w:pPr>
        <w:pStyle w:val="ListNumber"/>
        <w:spacing w:before="0" w:after="40" w:line="269" w:lineRule="auto"/>
      </w:pPr>
      <w:r>
        <w:rPr>
          <w:rFonts w:ascii="Aptos" w:hAnsi="Aptos" w:eastAsia="Aptos"/>
          <w:b w:val="0"/>
          <w:i w:val="0"/>
          <w:color w:val="0F172A"/>
          <w:sz w:val="21"/>
        </w:rPr>
        <w:t>Documento Design System.</w:t>
      </w:r>
    </w:p>
    <w:p>
      <w:pPr>
        <w:pStyle w:val="ListNumber"/>
        <w:spacing w:before="0" w:after="40" w:line="269" w:lineRule="auto"/>
      </w:pPr>
      <w:r>
        <w:rPr>
          <w:rFonts w:ascii="Aptos" w:hAnsi="Aptos" w:eastAsia="Aptos"/>
          <w:b w:val="0"/>
          <w:i w:val="0"/>
          <w:color w:val="0F172A"/>
          <w:sz w:val="21"/>
        </w:rPr>
        <w:t>Documento Component Library + States.</w:t>
      </w:r>
    </w:p>
    <w:p>
      <w:pPr>
        <w:pStyle w:val="ListNumber"/>
        <w:spacing w:before="0" w:after="40" w:line="269" w:lineRule="auto"/>
      </w:pPr>
      <w:r>
        <w:rPr>
          <w:rFonts w:ascii="Aptos" w:hAnsi="Aptos" w:eastAsia="Aptos"/>
          <w:b w:val="0"/>
          <w:i w:val="0"/>
          <w:color w:val="0F172A"/>
          <w:sz w:val="21"/>
        </w:rPr>
        <w:t>Documento Wireflow + High-Fidelity prioritario.</w:t>
      </w:r>
    </w:p>
    <w:p>
      <w:pPr>
        <w:pStyle w:val="ListNumber"/>
        <w:spacing w:before="0" w:after="40" w:line="269" w:lineRule="auto"/>
      </w:pPr>
      <w:r>
        <w:rPr>
          <w:rFonts w:ascii="Aptos" w:hAnsi="Aptos" w:eastAsia="Aptos"/>
          <w:b w:val="0"/>
          <w:i w:val="0"/>
          <w:color w:val="0F172A"/>
          <w:sz w:val="21"/>
        </w:rPr>
        <w:t>Questo Documento master UI/UX finale.</w:t>
      </w:r>
    </w:p>
    <w:p>
      <w:pPr>
        <w:pStyle w:val="ListNumber"/>
        <w:spacing w:before="0" w:after="40" w:line="269" w:lineRule="auto"/>
      </w:pPr>
      <w:r>
        <w:rPr>
          <w:rFonts w:ascii="Aptos" w:hAnsi="Aptos" w:eastAsia="Aptos"/>
          <w:b w:val="0"/>
          <w:i w:val="0"/>
          <w:color w:val="0F172A"/>
          <w:sz w:val="21"/>
        </w:rPr>
        <w:t>Blocchi tecnici copiabili e starter base per temi/token.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F" w:val="clear"/>
            <w:tcBorders>
              <w:left w:val="single" w:sz="8" w:color="B7C7E6"/>
              <w:top w:val="single" w:sz="8" w:color="B7C7E6"/>
              <w:right w:val="single" w:sz="8" w:color="B7C7E6"/>
              <w:bottom w:val="single" w:sz="8" w:color="B7C7E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9111F"/>
                <w:sz w:val="21"/>
              </w:rPr>
              <w:t>Principio di implementazione</w:t>
            </w:r>
          </w:p>
          <w:p>
            <w:pPr>
              <w:spacing w:before="0"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0F172A"/>
                <w:sz w:val="20"/>
              </w:rPr>
              <w:t>L'obiettivo non è vincolare Isabell a una realizzazione tecnica rigida, ma evitare reinterpretazioni inutili di layout, stato, naming, pattern e comportamento. L'implementazione resta adattabile sul piano tecnico, ma la grammatica UX/UI approvata resta la baseline da rispettare.</w:t>
            </w:r>
          </w:p>
        </w:tc>
      </w:tr>
    </w:tbl>
    <w:p/>
    <w:p>
      <w:pPr>
        <w:pStyle w:val="Heading1"/>
        <w:spacing w:before="200" w:after="80" w:line="240" w:lineRule="auto"/>
      </w:pPr>
      <w:r>
        <w:rPr>
          <w:rFonts w:ascii="Aptos" w:hAnsi="Aptos" w:eastAsia="Aptos"/>
          <w:b/>
          <w:i w:val="0"/>
          <w:color w:val="09111F"/>
          <w:sz w:val="36"/>
        </w:rPr>
        <w:t>11. Allegati logici del pacchetto finale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Documento Design System.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Documento Component Library + States.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Documento Wireflow + High-Fidelity prioritario.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Documento Handoff per Isabell.</w:t>
      </w:r>
    </w:p>
    <w:p>
      <w:pPr>
        <w:pStyle w:val="ListBullet"/>
        <w:spacing w:before="0" w:after="40" w:line="269" w:lineRule="auto"/>
        <w:ind w:left="0" w:hanging="113"/>
      </w:pPr>
      <w:r>
        <w:rPr>
          <w:rFonts w:ascii="Aptos" w:hAnsi="Aptos" w:eastAsia="Aptos"/>
          <w:b w:val="0"/>
          <w:i w:val="0"/>
          <w:color w:val="0F172A"/>
          <w:sz w:val="21"/>
        </w:rPr>
        <w:t>Blocchi tecnici copiabili: colors.json, typography.json, spacing.json, breakpoints.json, css-variables.css, theme-office.css, theme-shopfloor.css.</w:t>
      </w:r>
    </w:p>
    <w:p>
      <w:pPr>
        <w:pStyle w:val="Heading1"/>
        <w:spacing w:before="200" w:after="80" w:line="240" w:lineRule="auto"/>
      </w:pPr>
      <w:r>
        <w:rPr>
          <w:rFonts w:ascii="Aptos" w:hAnsi="Aptos" w:eastAsia="Aptos"/>
          <w:b/>
          <w:i w:val="0"/>
          <w:color w:val="09111F"/>
          <w:sz w:val="36"/>
        </w:rPr>
        <w:t>12. Conclusione operativa</w:t>
      </w:r>
    </w:p>
    <w:p>
      <w:pPr>
        <w:spacing w:before="0" w:after="120" w:line="276" w:lineRule="auto"/>
      </w:pPr>
      <w:r>
        <w:rPr>
          <w:rFonts w:ascii="Aptos" w:hAnsi="Aptos" w:eastAsia="Aptos"/>
          <w:b w:val="0"/>
          <w:i w:val="0"/>
          <w:color w:val="0F172A"/>
          <w:sz w:val="21"/>
        </w:rPr>
        <w:t>Questo documento va usato come artefatto di regia trasversale: mantiene allineati la visione UX, le regole di interfaccia, la terminologia, la separazione office/shopfloor e la logica di handoff verso sviluppo. Non sostituisce gli altri deliverable del pacchetto, ma li collega in un'unica baseline di comportamento e coerenza.</w:t>
      </w:r>
    </w:p>
    <w:p>
      <w:pPr>
        <w:spacing w:before="0" w:after="0" w:line="276" w:lineRule="auto"/>
      </w:pPr>
      <w:r>
        <w:rPr>
          <w:rFonts w:ascii="Aptos" w:hAnsi="Aptos" w:eastAsia="Aptos"/>
          <w:b w:val="0"/>
          <w:i w:val="0"/>
          <w:color w:val="0F172A"/>
          <w:sz w:val="21"/>
        </w:rPr>
        <w:t>Per il team di sviluppo, il criterio guida è semplice: implementare in modo coerente, leggibile e stabile ciò che è già stato deciso, riducendo al minimo ambiguità e re-interpretazioni.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 w:val="0"/>
        <w:i w:val="0"/>
        <w:color w:val="5B6778"/>
        <w:sz w:val="18"/>
      </w:rPr>
      <w:t xml:space="preserve">Pagina </w:t>
    </w:r>
    <w:fldSimple w:instr="PAGE">
      <w:r/>
    </w:fldSimple>
    <w:r>
      <w:rPr>
        <w:rFonts w:ascii="Aptos" w:hAnsi="Aptos" w:eastAsia="Aptos"/>
        <w:b w:val="0"/>
        <w:i w:val="0"/>
        <w:color w:val="5B6778"/>
        <w:sz w:val="18"/>
      </w:rPr>
      <w:t xml:space="preserve">  •  Esyy Flow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left"/>
    </w:pPr>
    <w:r>
      <w:rPr>
        <w:rFonts w:ascii="Aptos" w:hAnsi="Aptos" w:eastAsia="Aptos"/>
        <w:b w:val="0"/>
        <w:i w:val="0"/>
        <w:color w:val="5B6778"/>
        <w:sz w:val="19"/>
      </w:rPr>
      <w:t>Esyy Flow • Documento Master UI/UX Finale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