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47272741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 w:val="72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1"/>
          </w:tblGrid>
          <w:tr w:rsidR="00991A6E">
            <w:trPr>
              <w:trHeight w:val="2880"/>
              <w:jc w:val="center"/>
            </w:trPr>
            <w:tc>
              <w:tcPr>
                <w:tcW w:w="5000" w:type="pct"/>
              </w:tcPr>
              <w:p w:rsidR="00991A6E" w:rsidRDefault="00991A6E" w:rsidP="00991A6E">
                <w:pPr>
                  <w:pStyle w:val="a7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991A6E">
            <w:trPr>
              <w:trHeight w:val="1440"/>
              <w:jc w:val="center"/>
            </w:trPr>
            <w:sdt>
              <w:sdtPr>
                <w:rPr>
                  <w:rFonts w:ascii="Times New Roman" w:eastAsiaTheme="majorEastAsia" w:hAnsi="Times New Roman" w:cs="Times New Roman"/>
                  <w:sz w:val="28"/>
                  <w:szCs w:val="28"/>
                </w:rPr>
                <w:alias w:val="Название"/>
                <w:id w:val="15524250"/>
                <w:placeholder>
                  <w:docPart w:val="144CC1F318F84BBA9882D020B85843B4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991A6E" w:rsidRPr="00991A6E" w:rsidRDefault="00991A6E">
                    <w:pPr>
                      <w:pStyle w:val="a7"/>
                      <w:jc w:val="center"/>
                      <w:rPr>
                        <w:rFonts w:ascii="Times New Roman" w:eastAsiaTheme="majorEastAsia" w:hAnsi="Times New Roman" w:cs="Times New Roman"/>
                        <w:sz w:val="28"/>
                        <w:szCs w:val="28"/>
                      </w:rPr>
                    </w:pPr>
                    <w:r w:rsidRPr="00991A6E">
                      <w:rPr>
                        <w:rFonts w:ascii="Times New Roman" w:eastAsiaTheme="majorEastAsia" w:hAnsi="Times New Roman" w:cs="Times New Roman"/>
                        <w:sz w:val="28"/>
                        <w:szCs w:val="28"/>
                      </w:rPr>
                      <w:t>ИСПОЛЬЗОВАНИЕ СРЕДСТВ МАШИННОГО ОБУЧЕНИЯ В ПРОГНОЗИРОВАНИИ ДОХОДНОСТИ ПОРТФЕЛЯ ЦЕННЫХ БУМАГ</w:t>
                    </w:r>
                  </w:p>
                </w:tc>
              </w:sdtContent>
            </w:sdt>
          </w:tr>
          <w:tr w:rsidR="00991A6E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991A6E" w:rsidRDefault="00991A6E" w:rsidP="00991A6E">
                <w:pPr>
                  <w:pStyle w:val="a7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991A6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  <w:p w:rsidR="00991A6E" w:rsidRDefault="00991A6E">
                <w:pPr>
                  <w:pStyle w:val="a7"/>
                  <w:jc w:val="center"/>
                </w:pPr>
              </w:p>
            </w:tc>
          </w:tr>
          <w:tr w:rsidR="00991A6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991A6E" w:rsidRDefault="00991A6E" w:rsidP="00991A6E">
                <w:pPr>
                  <w:pStyle w:val="a7"/>
                  <w:jc w:val="center"/>
                  <w:rPr>
                    <w:b/>
                    <w:bCs/>
                  </w:rPr>
                </w:pPr>
              </w:p>
            </w:tc>
          </w:tr>
          <w:tr w:rsidR="00991A6E">
            <w:trPr>
              <w:trHeight w:val="360"/>
              <w:jc w:val="center"/>
            </w:trPr>
            <w:sdt>
              <w:sdtPr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alias w:val="Дата"/>
                <w:id w:val="516659546"/>
                <w:placeholder>
                  <w:docPart w:val="45E96E60622D413AAE223CD7A8EDE04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dd.MM.yyyy"/>
                  <w:lid w:val="ru-RU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991A6E" w:rsidRDefault="00991A6E">
                    <w:pPr>
                      <w:pStyle w:val="a7"/>
                      <w:jc w:val="center"/>
                      <w:rPr>
                        <w:b/>
                        <w:bCs/>
                      </w:rPr>
                    </w:pPr>
                    <w:r w:rsidRPr="00991A6E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2026</w:t>
                    </w:r>
                  </w:p>
                </w:tc>
              </w:sdtContent>
            </w:sdt>
          </w:tr>
        </w:tbl>
        <w:p w:rsidR="00AB4B00" w:rsidRPr="002B68BF" w:rsidRDefault="00991A6E">
          <w:pPr>
            <w:rPr>
              <w:rFonts w:eastAsiaTheme="minorEastAsia"/>
              <w:b/>
              <w:bCs/>
              <w:caps/>
              <w:sz w:val="72"/>
              <w:szCs w:val="72"/>
              <w:lang w:eastAsia="ru-RU"/>
            </w:rPr>
          </w:pPr>
        </w:p>
      </w:sdtContent>
    </w:sdt>
    <w:sdt>
      <w:sdtPr>
        <w:id w:val="171376493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AB4B00" w:rsidRDefault="00991A6E" w:rsidP="00991A6E">
          <w:pPr>
            <w:pStyle w:val="a4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991A6E" w:rsidRDefault="00991A6E" w:rsidP="00991A6E">
          <w:pPr>
            <w:rPr>
              <w:lang w:eastAsia="ru-RU"/>
            </w:rPr>
          </w:pPr>
        </w:p>
        <w:p w:rsidR="00991A6E" w:rsidRPr="00991A6E" w:rsidRDefault="00991A6E" w:rsidP="00991A6E">
          <w:pPr>
            <w:rPr>
              <w:lang w:eastAsia="ru-RU"/>
            </w:rPr>
          </w:pPr>
        </w:p>
        <w:p w:rsidR="00AB4B00" w:rsidRPr="00AB4B00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ВВЕДЕНИЕ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2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Гипотеза, цели и задачи проекта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3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Инструментарий и данные для исследования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:rsidR="00AB4B00" w:rsidRPr="00AB4B00" w:rsidRDefault="00AB4B00" w:rsidP="00991A6E">
          <w:pPr>
            <w:pStyle w:val="11"/>
            <w:numPr>
              <w:ilvl w:val="0"/>
              <w:numId w:val="14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Поведенческая экономика и машинное обучение в литературе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4</w:t>
          </w:r>
        </w:p>
        <w:p w:rsidR="00AB4B00" w:rsidRPr="00AB4B00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ЗАКЛЮЧЕНИЕ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5</w:t>
          </w:r>
        </w:p>
        <w:p w:rsidR="00AB4B00" w:rsidRPr="00991A6E" w:rsidRDefault="00AB4B00" w:rsidP="00991A6E">
          <w:pPr>
            <w:pStyle w:val="11"/>
            <w:spacing w:line="360" w:lineRule="auto"/>
            <w:ind w:firstLine="36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B4B00">
            <w:rPr>
              <w:rFonts w:ascii="Times New Roman" w:hAnsi="Times New Roman" w:cs="Times New Roman"/>
              <w:b/>
              <w:bCs/>
              <w:sz w:val="28"/>
              <w:szCs w:val="28"/>
            </w:rPr>
            <w:t>СПИСОК ЛИТЕРАТУРЫ</w:t>
          </w:r>
          <w:r w:rsidRPr="00AB4B0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8774F">
            <w:rPr>
              <w:rFonts w:ascii="Times New Roman" w:hAnsi="Times New Roman" w:cs="Times New Roman"/>
              <w:b/>
              <w:bCs/>
              <w:sz w:val="28"/>
              <w:szCs w:val="28"/>
            </w:rPr>
            <w:t>6</w:t>
          </w:r>
        </w:p>
      </w:sdtContent>
    </w:sdt>
    <w:p w:rsidR="00991A6E" w:rsidRDefault="00991A6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B4B00" w:rsidRDefault="00AB4B00">
      <w:pPr>
        <w:rPr>
          <w:rFonts w:ascii="Times New Roman" w:hAnsi="Times New Roman" w:cs="Times New Roman"/>
          <w:b/>
          <w:sz w:val="28"/>
          <w:szCs w:val="28"/>
        </w:rPr>
      </w:pPr>
    </w:p>
    <w:p w:rsidR="007565D3" w:rsidRPr="007565D3" w:rsidRDefault="007565D3" w:rsidP="007565D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2A609B" w:rsidRDefault="005C2D51" w:rsidP="005C2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машинного обучения занимают в нашей жизни весьма значительную роль. Машинное обучение применяется при анализе больших объёмов данных, например, при анализе поведения потребителей на рынке; анализе различных транзакционных операций с целью выявления мошеннических схем; анализе предпочтения тех или иных фильмов среди пользователей сети интернет и выявления критериев, объясняющих их выбор; анализе текстов</w:t>
      </w:r>
      <w:r w:rsidR="00E15B87">
        <w:rPr>
          <w:rFonts w:ascii="Times New Roman" w:hAnsi="Times New Roman" w:cs="Times New Roman"/>
          <w:sz w:val="28"/>
          <w:szCs w:val="28"/>
        </w:rPr>
        <w:t>,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и голосовых сообщений и т.д. Алгоритмы машинного обучения оказались весьма полезными в совершенно различных областях науки и техники ввиду наличия некоторых систематик и корреляций в тех или иных данных. </w:t>
      </w:r>
    </w:p>
    <w:p w:rsidR="00404C51" w:rsidRDefault="00404C51" w:rsidP="005C2D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подобным примерам можно привести и движение цен на фондовом рынке. Цена формируется из действий миллиона людей на рынке. Поведение этих людей связано с анализом текущего состояния рынка, новостного фона, анализа каких-либо технических данных, фундаментальных факторов и многих других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7BD0">
        <w:rPr>
          <w:rFonts w:ascii="Times New Roman" w:hAnsi="Times New Roman" w:cs="Times New Roman"/>
          <w:sz w:val="28"/>
          <w:szCs w:val="28"/>
        </w:rPr>
        <w:t>В</w:t>
      </w:r>
      <w:r w:rsidR="005C0DCA">
        <w:rPr>
          <w:rFonts w:ascii="Times New Roman" w:hAnsi="Times New Roman" w:cs="Times New Roman"/>
          <w:sz w:val="28"/>
          <w:szCs w:val="28"/>
        </w:rPr>
        <w:t>озможности глубокого</w:t>
      </w:r>
      <w:r w:rsidR="00DE7BD0">
        <w:rPr>
          <w:rFonts w:ascii="Times New Roman" w:hAnsi="Times New Roman" w:cs="Times New Roman"/>
          <w:sz w:val="28"/>
          <w:szCs w:val="28"/>
        </w:rPr>
        <w:t xml:space="preserve"> и машинного</w:t>
      </w:r>
      <w:r w:rsidR="005C0DCA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="00DE7BD0">
        <w:rPr>
          <w:rFonts w:ascii="Times New Roman" w:hAnsi="Times New Roman" w:cs="Times New Roman"/>
          <w:sz w:val="28"/>
          <w:szCs w:val="28"/>
        </w:rPr>
        <w:t xml:space="preserve">позволяют установить закономерности в реакции значительного числа участников рынка на </w:t>
      </w:r>
      <w:r w:rsidR="005C0DCA">
        <w:rPr>
          <w:rFonts w:ascii="Times New Roman" w:hAnsi="Times New Roman" w:cs="Times New Roman"/>
          <w:sz w:val="28"/>
          <w:szCs w:val="28"/>
        </w:rPr>
        <w:t>соц</w:t>
      </w:r>
      <w:r w:rsidR="00DE7BD0">
        <w:rPr>
          <w:rFonts w:ascii="Times New Roman" w:hAnsi="Times New Roman" w:cs="Times New Roman"/>
          <w:sz w:val="28"/>
          <w:szCs w:val="28"/>
        </w:rPr>
        <w:t>иальные сети</w:t>
      </w:r>
      <w:r w:rsidR="005C0DCA">
        <w:rPr>
          <w:rFonts w:ascii="Times New Roman" w:hAnsi="Times New Roman" w:cs="Times New Roman"/>
          <w:sz w:val="28"/>
          <w:szCs w:val="28"/>
        </w:rPr>
        <w:t xml:space="preserve"> и новостной шум, что повышает шансы на корректное прогнозирование движения цены. По этой причине возможности машинного обучения оказываются вполне пригодными для выявления систематик ценообразования.</w:t>
      </w:r>
    </w:p>
    <w:p w:rsidR="007565D3" w:rsidRDefault="00E15B87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возникает резонное желание исследовать возможности применения алгоритмов и методик машинного</w:t>
      </w:r>
      <w:r w:rsidR="00AB5F34" w:rsidRP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5F34">
        <w:rPr>
          <w:rFonts w:ascii="Times New Roman" w:hAnsi="Times New Roman" w:cs="Times New Roman"/>
          <w:sz w:val="28"/>
          <w:szCs w:val="28"/>
        </w:rPr>
        <w:t>и глубокого</w:t>
      </w:r>
      <w:r>
        <w:rPr>
          <w:rFonts w:ascii="Times New Roman" w:hAnsi="Times New Roman" w:cs="Times New Roman"/>
          <w:sz w:val="28"/>
          <w:szCs w:val="28"/>
        </w:rPr>
        <w:t xml:space="preserve"> обучения в прогнозировании цен различных активов, таких как акции, облигации и прочие финансовые инструменты. Действительно, большой объём данных, доступных любому пользователю сети интернет (например, индекс московской биржи </w:t>
      </w:r>
      <w:r>
        <w:rPr>
          <w:rFonts w:ascii="Times New Roman" w:hAnsi="Times New Roman" w:cs="Times New Roman"/>
          <w:sz w:val="28"/>
          <w:szCs w:val="28"/>
          <w:lang w:val="en-US"/>
        </w:rPr>
        <w:t>MOEX</w:t>
      </w:r>
      <w:r>
        <w:rPr>
          <w:rFonts w:ascii="Times New Roman" w:hAnsi="Times New Roman" w:cs="Times New Roman"/>
          <w:sz w:val="28"/>
          <w:szCs w:val="28"/>
        </w:rPr>
        <w:t xml:space="preserve">) и наличие определённых корреляций </w:t>
      </w:r>
      <w:r w:rsidR="002A609B">
        <w:rPr>
          <w:rFonts w:ascii="Times New Roman" w:hAnsi="Times New Roman" w:cs="Times New Roman"/>
          <w:sz w:val="28"/>
          <w:szCs w:val="28"/>
        </w:rPr>
        <w:t>в ценообразовании (кризисы</w:t>
      </w:r>
      <w:r>
        <w:rPr>
          <w:rFonts w:ascii="Times New Roman" w:hAnsi="Times New Roman" w:cs="Times New Roman"/>
          <w:sz w:val="28"/>
          <w:szCs w:val="28"/>
        </w:rPr>
        <w:t>, новости</w:t>
      </w:r>
      <w:r w:rsidR="002A609B">
        <w:rPr>
          <w:rFonts w:ascii="Times New Roman" w:hAnsi="Times New Roman" w:cs="Times New Roman"/>
          <w:sz w:val="28"/>
          <w:szCs w:val="28"/>
        </w:rPr>
        <w:t>, социальные сети</w:t>
      </w:r>
      <w:r>
        <w:rPr>
          <w:rFonts w:ascii="Times New Roman" w:hAnsi="Times New Roman" w:cs="Times New Roman"/>
          <w:sz w:val="28"/>
          <w:szCs w:val="28"/>
        </w:rPr>
        <w:t xml:space="preserve"> и т.д.) наводят на </w:t>
      </w:r>
      <w:r>
        <w:rPr>
          <w:rFonts w:ascii="Times New Roman" w:hAnsi="Times New Roman" w:cs="Times New Roman"/>
          <w:sz w:val="28"/>
          <w:szCs w:val="28"/>
        </w:rPr>
        <w:lastRenderedPageBreak/>
        <w:t>мысль о целесообразности применения подобных методов в исследовании.</w:t>
      </w:r>
      <w:r w:rsidR="001B31F6">
        <w:rPr>
          <w:rFonts w:ascii="Times New Roman" w:hAnsi="Times New Roman" w:cs="Times New Roman"/>
          <w:sz w:val="28"/>
          <w:szCs w:val="28"/>
        </w:rPr>
        <w:t xml:space="preserve"> Применение различных методик прогнозирования (технический анализ, фундаментальны</w:t>
      </w:r>
      <w:r w:rsidR="00DE7BD0">
        <w:rPr>
          <w:rFonts w:ascii="Times New Roman" w:hAnsi="Times New Roman" w:cs="Times New Roman"/>
          <w:sz w:val="28"/>
          <w:szCs w:val="28"/>
        </w:rPr>
        <w:t>й анализ и пр.) позволяет нам заключить</w:t>
      </w:r>
      <w:r w:rsidR="001B31F6">
        <w:rPr>
          <w:rFonts w:ascii="Times New Roman" w:hAnsi="Times New Roman" w:cs="Times New Roman"/>
          <w:sz w:val="28"/>
          <w:szCs w:val="28"/>
        </w:rPr>
        <w:t>, что алгоритмы машинного обучения способны выполнять прогнозирование по различным метрикам и признакам весьма эффективно.</w:t>
      </w:r>
      <w:r w:rsidR="00AB5F34">
        <w:rPr>
          <w:rFonts w:ascii="Times New Roman" w:hAnsi="Times New Roman" w:cs="Times New Roman"/>
          <w:sz w:val="28"/>
          <w:szCs w:val="28"/>
        </w:rPr>
        <w:t xml:space="preserve"> С другой стороны, прогнозирование на основе машинного обучения можно подкрепить анализом новостного фона на основе глубокого обучения, что может существенно упростить прогнозирование движения цены. Последовательное внедрение подобных алгоритмов и методов </w:t>
      </w:r>
      <w:proofErr w:type="gramStart"/>
      <w:r w:rsidR="00AB5F34">
        <w:rPr>
          <w:rFonts w:ascii="Times New Roman" w:hAnsi="Times New Roman" w:cs="Times New Roman"/>
          <w:sz w:val="28"/>
          <w:szCs w:val="28"/>
        </w:rPr>
        <w:t>может</w:t>
      </w:r>
      <w:proofErr w:type="gramEnd"/>
      <w:r w:rsid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4B00">
        <w:rPr>
          <w:rFonts w:ascii="Times New Roman" w:hAnsi="Times New Roman" w:cs="Times New Roman"/>
          <w:sz w:val="28"/>
          <w:szCs w:val="28"/>
        </w:rPr>
        <w:t xml:space="preserve">как </w:t>
      </w:r>
      <w:r w:rsidR="00AB5F34">
        <w:rPr>
          <w:rFonts w:ascii="Times New Roman" w:hAnsi="Times New Roman" w:cs="Times New Roman"/>
          <w:sz w:val="28"/>
          <w:szCs w:val="28"/>
        </w:rPr>
        <w:t>существенно повысить эффективность рынка и скорость его отклика на внешние факторы</w:t>
      </w:r>
      <w:r w:rsidR="00AB4B00">
        <w:rPr>
          <w:rFonts w:ascii="Times New Roman" w:hAnsi="Times New Roman" w:cs="Times New Roman"/>
          <w:sz w:val="28"/>
          <w:szCs w:val="28"/>
        </w:rPr>
        <w:t>, так и привнести новые и ранее не наблюдавшиеся явления</w:t>
      </w:r>
      <w:r w:rsidR="00AB5F34">
        <w:rPr>
          <w:rFonts w:ascii="Times New Roman" w:hAnsi="Times New Roman" w:cs="Times New Roman"/>
          <w:sz w:val="28"/>
          <w:szCs w:val="28"/>
        </w:rPr>
        <w:t>.</w:t>
      </w:r>
      <w:r w:rsidR="001B31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65D3" w:rsidRPr="007565D3" w:rsidRDefault="007565D3" w:rsidP="007565D3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65D3">
        <w:rPr>
          <w:rFonts w:ascii="Times New Roman" w:hAnsi="Times New Roman" w:cs="Times New Roman"/>
          <w:b/>
          <w:sz w:val="28"/>
          <w:szCs w:val="28"/>
        </w:rPr>
        <w:t>Гипотеза, цели и задачи проекта.</w:t>
      </w:r>
    </w:p>
    <w:p w:rsidR="00AB4B00" w:rsidRPr="00AB4B00" w:rsidRDefault="00AB4B00" w:rsidP="00AB4B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B00">
        <w:rPr>
          <w:rFonts w:ascii="Times New Roman" w:hAnsi="Times New Roman" w:cs="Times New Roman"/>
          <w:sz w:val="28"/>
          <w:szCs w:val="28"/>
        </w:rPr>
        <w:t>Основное предположение, которое требуется проверить – имеется ли возможность эффективно работать в экстремальных условиях на рынке при помощи средств машинного обучения на основе определённого ряда признаков или их комбинации и насколько эффективно можно его подкрепить анализом новостного фона с помощью глубокого обучения.</w:t>
      </w:r>
    </w:p>
    <w:p w:rsidR="005C0DCA" w:rsidRDefault="005C0DCA" w:rsidP="00AB4B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данного проекта является применение средств машинного обучения для анализа временного ряда цен определённой группы акций на основе различных признаков, используемых в прогнозировании</w:t>
      </w:r>
      <w:r w:rsidR="00AB5F34">
        <w:rPr>
          <w:rFonts w:ascii="Times New Roman" w:hAnsi="Times New Roman" w:cs="Times New Roman"/>
          <w:sz w:val="28"/>
          <w:szCs w:val="28"/>
        </w:rPr>
        <w:t xml:space="preserve">, и на основании полученных результатов реализация </w:t>
      </w:r>
      <w:proofErr w:type="spellStart"/>
      <w:r w:rsidR="00AB5F34">
        <w:rPr>
          <w:rFonts w:ascii="Times New Roman" w:hAnsi="Times New Roman" w:cs="Times New Roman"/>
          <w:sz w:val="28"/>
          <w:szCs w:val="28"/>
        </w:rPr>
        <w:t>лонг</w:t>
      </w:r>
      <w:proofErr w:type="spellEnd"/>
      <w:r w:rsidR="00AB5F34" w:rsidRPr="00AB5F34">
        <w:rPr>
          <w:rFonts w:ascii="Times New Roman" w:hAnsi="Times New Roman" w:cs="Times New Roman"/>
          <w:sz w:val="28"/>
          <w:szCs w:val="28"/>
        </w:rPr>
        <w:t>/</w:t>
      </w:r>
      <w:r w:rsidR="00AB5F34">
        <w:rPr>
          <w:rFonts w:ascii="Times New Roman" w:hAnsi="Times New Roman" w:cs="Times New Roman"/>
          <w:sz w:val="28"/>
          <w:szCs w:val="28"/>
        </w:rPr>
        <w:t>шорт портфеля ценных бумаг с предсказанием их доходности и риска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15B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31F6">
        <w:rPr>
          <w:rFonts w:ascii="Times New Roman" w:hAnsi="Times New Roman" w:cs="Times New Roman"/>
          <w:sz w:val="28"/>
          <w:szCs w:val="28"/>
        </w:rPr>
        <w:t>Для достижения поставленн</w:t>
      </w:r>
      <w:r w:rsidR="006127CE">
        <w:rPr>
          <w:rFonts w:ascii="Times New Roman" w:hAnsi="Times New Roman" w:cs="Times New Roman"/>
          <w:sz w:val="28"/>
          <w:szCs w:val="28"/>
        </w:rPr>
        <w:t>ой цели</w:t>
      </w:r>
      <w:r w:rsidR="001B31F6">
        <w:rPr>
          <w:rFonts w:ascii="Times New Roman" w:hAnsi="Times New Roman" w:cs="Times New Roman"/>
          <w:sz w:val="28"/>
          <w:szCs w:val="28"/>
        </w:rPr>
        <w:t xml:space="preserve"> необходимо выбрать определённый достаточно широкий ряд акций с высокой ликвидностью с целью упрощения дальнейше</w:t>
      </w:r>
      <w:r w:rsidR="006127CE">
        <w:rPr>
          <w:rFonts w:ascii="Times New Roman" w:hAnsi="Times New Roman" w:cs="Times New Roman"/>
          <w:sz w:val="28"/>
          <w:szCs w:val="28"/>
        </w:rPr>
        <w:t>го обучения моделей;</w:t>
      </w:r>
      <w:r w:rsidR="00E0653A">
        <w:rPr>
          <w:rFonts w:ascii="Times New Roman" w:hAnsi="Times New Roman" w:cs="Times New Roman"/>
          <w:sz w:val="28"/>
          <w:szCs w:val="28"/>
        </w:rPr>
        <w:t xml:space="preserve"> разделение набора данных на обучающий и тестовый наборы таким образом, чтобы при тестировании модель оказалась в нестандартных для предыдущих данных условиях с целью проверки её обобщающей способности;</w:t>
      </w:r>
      <w:r w:rsidR="001B31F6">
        <w:rPr>
          <w:rFonts w:ascii="Times New Roman" w:hAnsi="Times New Roman" w:cs="Times New Roman"/>
          <w:sz w:val="28"/>
          <w:szCs w:val="28"/>
        </w:rPr>
        <w:t xml:space="preserve"> разработка соответствующего программного об</w:t>
      </w:r>
      <w:r w:rsidR="006127CE">
        <w:rPr>
          <w:rFonts w:ascii="Times New Roman" w:hAnsi="Times New Roman" w:cs="Times New Roman"/>
          <w:sz w:val="28"/>
          <w:szCs w:val="28"/>
        </w:rPr>
        <w:t>еспечения;</w:t>
      </w:r>
      <w:proofErr w:type="gramEnd"/>
      <w:r w:rsidR="001B31F6">
        <w:rPr>
          <w:rFonts w:ascii="Times New Roman" w:hAnsi="Times New Roman" w:cs="Times New Roman"/>
          <w:sz w:val="28"/>
          <w:szCs w:val="28"/>
        </w:rPr>
        <w:t xml:space="preserve"> обуч</w:t>
      </w:r>
      <w:r w:rsidR="002A609B">
        <w:rPr>
          <w:rFonts w:ascii="Times New Roman" w:hAnsi="Times New Roman" w:cs="Times New Roman"/>
          <w:sz w:val="28"/>
          <w:szCs w:val="28"/>
        </w:rPr>
        <w:t xml:space="preserve">ение моделей машинного обучения </w:t>
      </w:r>
      <w:r w:rsidR="001B31F6">
        <w:rPr>
          <w:rFonts w:ascii="Times New Roman" w:hAnsi="Times New Roman" w:cs="Times New Roman"/>
          <w:sz w:val="28"/>
          <w:szCs w:val="28"/>
        </w:rPr>
        <w:t xml:space="preserve">и выявление наиболее принципиальных для анализа признаков </w:t>
      </w:r>
      <w:r w:rsidR="001B31F6">
        <w:rPr>
          <w:rFonts w:ascii="Times New Roman" w:hAnsi="Times New Roman" w:cs="Times New Roman"/>
          <w:sz w:val="28"/>
          <w:szCs w:val="28"/>
        </w:rPr>
        <w:lastRenderedPageBreak/>
        <w:t xml:space="preserve">путём применения алгоритмов </w:t>
      </w:r>
      <w:r w:rsidR="00DE7BD0">
        <w:rPr>
          <w:rFonts w:ascii="Times New Roman" w:hAnsi="Times New Roman" w:cs="Times New Roman"/>
          <w:sz w:val="28"/>
          <w:szCs w:val="28"/>
        </w:rPr>
        <w:t>сжатия для снижения размерности; применение нейронных сетей для анализа социальных сетей и новостей.</w:t>
      </w:r>
    </w:p>
    <w:p w:rsidR="00AB4B00" w:rsidRPr="00AB4B00" w:rsidRDefault="00AB4B00" w:rsidP="00AB4B0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Инструментарий и данные для исследования.</w:t>
      </w:r>
    </w:p>
    <w:p w:rsidR="00AB4B00" w:rsidRDefault="006127CE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средством для написания программного обеспечения будет язык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12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библиотеки для анализа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6127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обработка табличных данных),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27C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численные расчёты),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612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(визуализация результатов),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6127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алгоритмы машинного обучения, сжатия данных, их предварительной обработки и т.д.).</w:t>
      </w:r>
      <w:r w:rsidR="00AB5F34">
        <w:rPr>
          <w:rFonts w:ascii="Times New Roman" w:hAnsi="Times New Roman" w:cs="Times New Roman"/>
          <w:sz w:val="28"/>
          <w:szCs w:val="28"/>
        </w:rPr>
        <w:t xml:space="preserve"> В дальнейшем планируется внедрить возможности библиотек глубокого обучения (</w:t>
      </w:r>
      <w:proofErr w:type="spellStart"/>
      <w:r w:rsidR="00AB5F34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="00AB5F34" w:rsidRPr="00AB5F34">
        <w:rPr>
          <w:rFonts w:ascii="Times New Roman" w:hAnsi="Times New Roman" w:cs="Times New Roman"/>
          <w:sz w:val="28"/>
          <w:szCs w:val="28"/>
        </w:rPr>
        <w:t xml:space="preserve"> </w:t>
      </w:r>
      <w:r w:rsidR="00AB5F34">
        <w:rPr>
          <w:rFonts w:ascii="Times New Roman" w:hAnsi="Times New Roman" w:cs="Times New Roman"/>
          <w:sz w:val="28"/>
          <w:szCs w:val="28"/>
        </w:rPr>
        <w:t>и т.д.).</w:t>
      </w:r>
    </w:p>
    <w:p w:rsidR="007565D3" w:rsidRDefault="006127CE" w:rsidP="007565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Данные, используемые в проекте, основаны на данных торгов на московской бирже в период с 2015 по 2024 год. </w:t>
      </w:r>
      <w:proofErr w:type="gramStart"/>
      <w:r w:rsidR="00E0653A">
        <w:rPr>
          <w:rFonts w:ascii="Times New Roman" w:hAnsi="Times New Roman" w:cs="Times New Roman"/>
          <w:sz w:val="28"/>
          <w:szCs w:val="28"/>
        </w:rPr>
        <w:t>Данные делятся на обучающий и тестовый наборы соответственно в период 01.01.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2015 </w:t>
      </w:r>
      <w:r w:rsidR="00E0653A">
        <w:rPr>
          <w:rFonts w:ascii="Times New Roman" w:hAnsi="Times New Roman" w:cs="Times New Roman"/>
          <w:sz w:val="28"/>
          <w:szCs w:val="28"/>
        </w:rPr>
        <w:t>–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 20.</w:t>
      </w:r>
      <w:r w:rsidR="00E0653A">
        <w:rPr>
          <w:rFonts w:ascii="Times New Roman" w:hAnsi="Times New Roman" w:cs="Times New Roman"/>
          <w:sz w:val="28"/>
          <w:szCs w:val="28"/>
        </w:rPr>
        <w:t>12.20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21 </w:t>
      </w:r>
      <w:r w:rsidR="00E0653A">
        <w:rPr>
          <w:rFonts w:ascii="Times New Roman" w:hAnsi="Times New Roman" w:cs="Times New Roman"/>
          <w:sz w:val="28"/>
          <w:szCs w:val="28"/>
        </w:rPr>
        <w:t xml:space="preserve">и </w:t>
      </w:r>
      <w:r w:rsidR="00E0653A" w:rsidRPr="00E0653A">
        <w:rPr>
          <w:rFonts w:ascii="Times New Roman" w:hAnsi="Times New Roman" w:cs="Times New Roman"/>
          <w:sz w:val="28"/>
          <w:szCs w:val="28"/>
        </w:rPr>
        <w:t xml:space="preserve">01.01.2022 </w:t>
      </w:r>
      <w:r w:rsidR="00E0653A">
        <w:rPr>
          <w:rFonts w:ascii="Times New Roman" w:hAnsi="Times New Roman" w:cs="Times New Roman"/>
          <w:sz w:val="28"/>
          <w:szCs w:val="28"/>
        </w:rPr>
        <w:t>– 31</w:t>
      </w:r>
      <w:r w:rsidR="00AB5F34">
        <w:rPr>
          <w:rFonts w:ascii="Times New Roman" w:hAnsi="Times New Roman" w:cs="Times New Roman"/>
          <w:sz w:val="28"/>
          <w:szCs w:val="28"/>
        </w:rPr>
        <w:t>.12.2024 с возможной корректировкой для проверки фактической результативности модели в различные годы.</w:t>
      </w:r>
      <w:proofErr w:type="gramEnd"/>
      <w:r w:rsidR="00E0653A">
        <w:rPr>
          <w:rFonts w:ascii="Times New Roman" w:hAnsi="Times New Roman" w:cs="Times New Roman"/>
          <w:sz w:val="28"/>
          <w:szCs w:val="28"/>
        </w:rPr>
        <w:t xml:space="preserve"> Выбор таких периодов мотивируется достаточно сложной ситуации на рынке, начиная с 2022 года, что сильно усложнит предсказание движения цены и поможет нам установить наиболее значимые и информативные признаки в подобных экстремальных условиях.</w:t>
      </w:r>
      <w:r w:rsidR="002F3697">
        <w:rPr>
          <w:rFonts w:ascii="Times New Roman" w:hAnsi="Times New Roman" w:cs="Times New Roman"/>
          <w:sz w:val="28"/>
          <w:szCs w:val="28"/>
        </w:rPr>
        <w:t xml:space="preserve"> Дополнив модели машинного обучения моделями нейронных сетей для анализа информационного шума, потенциально мы сможем повысить эффективность предсказания, основываясь на поведении людей и их реакции на СМИ и отражении этого поведения на рынке</w:t>
      </w:r>
      <w:r w:rsidR="005A149A">
        <w:rPr>
          <w:rFonts w:ascii="Times New Roman" w:hAnsi="Times New Roman" w:cs="Times New Roman"/>
          <w:sz w:val="28"/>
          <w:szCs w:val="28"/>
        </w:rPr>
        <w:t xml:space="preserve"> финансовых инструментов</w:t>
      </w:r>
      <w:r w:rsidR="002F3697">
        <w:rPr>
          <w:rFonts w:ascii="Times New Roman" w:hAnsi="Times New Roman" w:cs="Times New Roman"/>
          <w:sz w:val="28"/>
          <w:szCs w:val="28"/>
        </w:rPr>
        <w:t>.</w:t>
      </w:r>
      <w:r w:rsidR="005E13C3">
        <w:rPr>
          <w:rFonts w:ascii="Times New Roman" w:hAnsi="Times New Roman" w:cs="Times New Roman"/>
          <w:sz w:val="28"/>
          <w:szCs w:val="28"/>
        </w:rPr>
        <w:t xml:space="preserve"> Результаты исследования могут оказаться полезными как для самого Банка России с точки зрения улучшения поведенческого надзора и выявления рисков недобросовестных практик</w:t>
      </w:r>
      <w:r w:rsidR="002A609B">
        <w:rPr>
          <w:rFonts w:ascii="Times New Roman" w:hAnsi="Times New Roman" w:cs="Times New Roman"/>
          <w:sz w:val="28"/>
          <w:szCs w:val="28"/>
        </w:rPr>
        <w:t>, так и для прочих органов финансового рынка</w:t>
      </w:r>
      <w:r w:rsidR="005E13C3">
        <w:rPr>
          <w:rFonts w:ascii="Times New Roman" w:hAnsi="Times New Roman" w:cs="Times New Roman"/>
          <w:sz w:val="28"/>
          <w:szCs w:val="28"/>
        </w:rPr>
        <w:t>.</w:t>
      </w:r>
      <w:r w:rsidR="002A609B">
        <w:rPr>
          <w:rFonts w:ascii="Times New Roman" w:hAnsi="Times New Roman" w:cs="Times New Roman"/>
          <w:sz w:val="28"/>
          <w:szCs w:val="28"/>
        </w:rPr>
        <w:t xml:space="preserve"> Исследование планируется провести в течение года с перспективой дальнейшего развития проекта.</w:t>
      </w:r>
    </w:p>
    <w:p w:rsidR="007565D3" w:rsidRPr="00AB4B00" w:rsidRDefault="00AB4B00" w:rsidP="00AB4B0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Поведенческая экономика и машинное обучение в литературе.</w:t>
      </w:r>
    </w:p>
    <w:p w:rsidR="001E7DD2" w:rsidRDefault="001E7DD2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Гипотеза эффективного рын</w:t>
      </w:r>
      <w:r w:rsidR="00F374C4">
        <w:rPr>
          <w:rFonts w:ascii="Times New Roman" w:hAnsi="Times New Roman" w:cs="Times New Roman"/>
          <w:sz w:val="28"/>
          <w:szCs w:val="28"/>
        </w:rPr>
        <w:t xml:space="preserve">ка </w:t>
      </w:r>
      <w:r>
        <w:rPr>
          <w:rFonts w:ascii="Times New Roman" w:hAnsi="Times New Roman" w:cs="Times New Roman"/>
          <w:sz w:val="28"/>
          <w:szCs w:val="28"/>
        </w:rPr>
        <w:t xml:space="preserve">была высказана в </w:t>
      </w:r>
      <w:r w:rsidRPr="001E7DD2">
        <w:rPr>
          <w:rFonts w:ascii="Times New Roman" w:hAnsi="Times New Roman" w:cs="Times New Roman"/>
          <w:sz w:val="28"/>
          <w:szCs w:val="28"/>
        </w:rPr>
        <w:t xml:space="preserve">[1], </w:t>
      </w:r>
      <w:r>
        <w:rPr>
          <w:rFonts w:ascii="Times New Roman" w:hAnsi="Times New Roman" w:cs="Times New Roman"/>
          <w:sz w:val="28"/>
          <w:szCs w:val="28"/>
        </w:rPr>
        <w:t>в которой рассматривалась возможность эффективной реакции рынка на внешние условия, а отклонения от равновесия носили случайный характер. Однако со временем выяснилось, что фактически мы наблюдаем отклонения от этой модели, что привело к формированию понятия поведенческой экономики.</w:t>
      </w:r>
    </w:p>
    <w:p w:rsidR="001E7DD2" w:rsidRDefault="001E7DD2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Канемана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Тверски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7DD2">
        <w:rPr>
          <w:rFonts w:ascii="Times New Roman" w:hAnsi="Times New Roman" w:cs="Times New Roman"/>
          <w:sz w:val="28"/>
          <w:szCs w:val="28"/>
        </w:rPr>
        <w:t xml:space="preserve">[2] </w:t>
      </w:r>
      <w:r>
        <w:rPr>
          <w:rFonts w:ascii="Times New Roman" w:hAnsi="Times New Roman" w:cs="Times New Roman"/>
          <w:sz w:val="28"/>
          <w:szCs w:val="28"/>
        </w:rPr>
        <w:t xml:space="preserve">предлагается идея зависимости поведения агентов от их психологических искажений. Шиллер </w:t>
      </w:r>
      <w:r w:rsidRPr="001E7DD2">
        <w:rPr>
          <w:rFonts w:ascii="Times New Roman" w:hAnsi="Times New Roman" w:cs="Times New Roman"/>
          <w:sz w:val="28"/>
          <w:szCs w:val="28"/>
        </w:rPr>
        <w:t xml:space="preserve">[3] </w:t>
      </w:r>
      <w:r>
        <w:rPr>
          <w:rFonts w:ascii="Times New Roman" w:hAnsi="Times New Roman" w:cs="Times New Roman"/>
          <w:sz w:val="28"/>
          <w:szCs w:val="28"/>
        </w:rPr>
        <w:t xml:space="preserve">развивает эту идею на агентов финансового рынка. В работе </w:t>
      </w:r>
      <w:r w:rsidRPr="001E7DD2"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</w:rPr>
        <w:t>было исследовано влияние поведенческих аномалий на принятие решений индивидуальных и институциональных инвесторов.</w:t>
      </w:r>
      <w:r w:rsidR="00532D9F">
        <w:rPr>
          <w:rFonts w:ascii="Times New Roman" w:hAnsi="Times New Roman" w:cs="Times New Roman"/>
          <w:sz w:val="28"/>
          <w:szCs w:val="28"/>
        </w:rPr>
        <w:t xml:space="preserve"> Потенциальную предсказуемость в систематических ошибках участников рынка с помощью средств математической статистики высказывают авторы работы </w:t>
      </w:r>
      <w:r w:rsidR="00532D9F" w:rsidRPr="00532D9F">
        <w:rPr>
          <w:rFonts w:ascii="Times New Roman" w:hAnsi="Times New Roman" w:cs="Times New Roman"/>
          <w:sz w:val="28"/>
          <w:szCs w:val="28"/>
        </w:rPr>
        <w:t>[5].</w:t>
      </w:r>
    </w:p>
    <w:p w:rsidR="00532D9F" w:rsidRDefault="00532D9F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работах отражаются возможности установления нелинейных зависимостей в финансовых данных, которые недоступны обычным факторным моделям. В работах </w:t>
      </w:r>
      <w:r w:rsidRPr="00532D9F">
        <w:rPr>
          <w:rFonts w:ascii="Times New Roman" w:hAnsi="Times New Roman" w:cs="Times New Roman"/>
          <w:sz w:val="28"/>
          <w:szCs w:val="28"/>
        </w:rPr>
        <w:t xml:space="preserve">[6-7] </w:t>
      </w:r>
      <w:r>
        <w:rPr>
          <w:rFonts w:ascii="Times New Roman" w:hAnsi="Times New Roman" w:cs="Times New Roman"/>
          <w:sz w:val="28"/>
          <w:szCs w:val="28"/>
        </w:rPr>
        <w:t>продемонстрированы возможности ансамблей деревьев и нейронных сетей и их эффективность по сравнению с традиционн</w:t>
      </w:r>
      <w:r w:rsidR="00DE7BD0">
        <w:rPr>
          <w:rFonts w:ascii="Times New Roman" w:hAnsi="Times New Roman" w:cs="Times New Roman"/>
          <w:sz w:val="28"/>
          <w:szCs w:val="28"/>
        </w:rPr>
        <w:t>ыми моделями прогнозирования (в</w:t>
      </w:r>
      <w:r>
        <w:rPr>
          <w:rFonts w:ascii="Times New Roman" w:hAnsi="Times New Roman" w:cs="Times New Roman"/>
          <w:sz w:val="28"/>
          <w:szCs w:val="28"/>
        </w:rPr>
        <w:t xml:space="preserve">о второй работе использованы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построения факторных моделей</w:t>
      </w:r>
      <w:r w:rsidR="00DE7B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Методологические требования к машинному обучению в финансах предложены в работе [8], которые также используются в данном проекте, поскольку данная работа стала своего рода </w:t>
      </w:r>
      <w:r>
        <w:rPr>
          <w:rFonts w:ascii="Times New Roman" w:hAnsi="Times New Roman" w:cs="Times New Roman"/>
          <w:sz w:val="28"/>
          <w:szCs w:val="28"/>
          <w:lang w:val="en-US"/>
        </w:rPr>
        <w:t>quant</w:t>
      </w:r>
      <w:r w:rsidRPr="00532D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стандартом в прогнозировании.</w:t>
      </w:r>
    </w:p>
    <w:p w:rsidR="00532D9F" w:rsidRDefault="00532D9F" w:rsidP="001E7D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поведенческих признаков в машинное обучение рассмотрено в работе </w:t>
      </w:r>
      <w:r w:rsidRPr="00532D9F">
        <w:rPr>
          <w:rFonts w:ascii="Times New Roman" w:hAnsi="Times New Roman" w:cs="Times New Roman"/>
          <w:sz w:val="28"/>
          <w:szCs w:val="28"/>
        </w:rPr>
        <w:t xml:space="preserve">[9], </w:t>
      </w:r>
      <w:r>
        <w:rPr>
          <w:rFonts w:ascii="Times New Roman" w:hAnsi="Times New Roman" w:cs="Times New Roman"/>
          <w:sz w:val="28"/>
          <w:szCs w:val="28"/>
        </w:rPr>
        <w:t>где отражена значимость новостей</w:t>
      </w:r>
      <w:r w:rsidR="00DB1095">
        <w:rPr>
          <w:rFonts w:ascii="Times New Roman" w:hAnsi="Times New Roman" w:cs="Times New Roman"/>
          <w:sz w:val="28"/>
          <w:szCs w:val="28"/>
        </w:rPr>
        <w:t xml:space="preserve"> и социальных сетей как поведенческого фактора участников рынка.</w:t>
      </w:r>
    </w:p>
    <w:p w:rsidR="007565D3" w:rsidRPr="007565D3" w:rsidRDefault="007565D3" w:rsidP="001E7DD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15B87" w:rsidRPr="00E15B87" w:rsidRDefault="007565D3" w:rsidP="00C877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Таким образом, с точки зрения последних и относительно свежих работ по данным направлениям можно сделать вывод, что применение средств </w:t>
      </w:r>
      <w:r>
        <w:rPr>
          <w:rFonts w:ascii="Times New Roman" w:hAnsi="Times New Roman" w:cs="Times New Roman"/>
          <w:sz w:val="28"/>
          <w:szCs w:val="28"/>
        </w:rPr>
        <w:lastRenderedPageBreak/>
        <w:t>машинного обучения в поведенческой экономике имеет одно из принципиальных значений в современном мире, а также даёт широкий спектр возможностей с точки зрения формирования более объективной позиции в текущих рыночных условиях и способствует эффективному использованию поведенческих факторов при формировании портфеля.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указывает на перспективность и высокую ценность подобных исследований.</w:t>
      </w:r>
    </w:p>
    <w:p w:rsidR="00E15B87" w:rsidRDefault="00E15B87" w:rsidP="00E15B87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Fama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E.F. Efficient Capital Markets: A Review of Theory and Empirical Work // </w:t>
      </w:r>
      <w:proofErr w:type="gramStart"/>
      <w:r w:rsidRPr="00DB1095">
        <w:rPr>
          <w:color w:val="0F1115"/>
          <w:sz w:val="28"/>
          <w:szCs w:val="28"/>
          <w:lang w:val="en-US"/>
        </w:rPr>
        <w:t>The</w:t>
      </w:r>
      <w:proofErr w:type="gramEnd"/>
      <w:r w:rsidRPr="00DB1095">
        <w:rPr>
          <w:color w:val="0F1115"/>
          <w:sz w:val="28"/>
          <w:szCs w:val="28"/>
          <w:lang w:val="en-US"/>
        </w:rPr>
        <w:t xml:space="preserve"> Journal of Finance. — 1970. — Vol. 25, No. 2. — P. 383–417.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Kahneman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D., </w:t>
      </w:r>
      <w:proofErr w:type="spellStart"/>
      <w:r w:rsidRPr="00DB1095">
        <w:rPr>
          <w:color w:val="0F1115"/>
          <w:sz w:val="28"/>
          <w:szCs w:val="28"/>
          <w:lang w:val="en-US"/>
        </w:rPr>
        <w:t>Tversky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A. Prospect Theory: An Analysis of Decision under Risk // </w:t>
      </w:r>
      <w:proofErr w:type="spellStart"/>
      <w:r w:rsidRPr="00DB1095">
        <w:rPr>
          <w:color w:val="0F1115"/>
          <w:sz w:val="28"/>
          <w:szCs w:val="28"/>
          <w:lang w:val="en-US"/>
        </w:rPr>
        <w:t>Econometrica</w:t>
      </w:r>
      <w:proofErr w:type="spellEnd"/>
      <w:r w:rsidRPr="00DB1095">
        <w:rPr>
          <w:color w:val="0F1115"/>
          <w:sz w:val="28"/>
          <w:szCs w:val="28"/>
          <w:lang w:val="en-US"/>
        </w:rPr>
        <w:t>. — 1979. — Vol. 47, No. 2. — P. 263–291.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Shiller</w:t>
      </w:r>
      <w:proofErr w:type="spellEnd"/>
      <w:r w:rsidRPr="00DB1095">
        <w:rPr>
          <w:color w:val="0F1115"/>
          <w:sz w:val="28"/>
          <w:szCs w:val="28"/>
          <w:lang w:val="en-US"/>
        </w:rPr>
        <w:t>, R.J. Irrational Exuberance. — 3rd ed. — Princeton University Press, 2015.</w:t>
      </w:r>
    </w:p>
    <w:p w:rsidR="001E7DD2" w:rsidRPr="00DB1095" w:rsidRDefault="001E7DD2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Thaler</w:t>
      </w:r>
      <w:proofErr w:type="spellEnd"/>
      <w:r w:rsidRPr="00DB1095">
        <w:rPr>
          <w:color w:val="0F1115"/>
          <w:sz w:val="28"/>
          <w:szCs w:val="28"/>
          <w:lang w:val="en-US"/>
        </w:rPr>
        <w:t>, R.H. Misbehaving: The Making of Behavioral Economics. — W.W. Norton &amp; Company, 2015.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B1095">
        <w:rPr>
          <w:color w:val="0F1115"/>
          <w:sz w:val="28"/>
          <w:szCs w:val="28"/>
          <w:lang w:val="en-US"/>
        </w:rPr>
        <w:t xml:space="preserve">Barber, B.M., </w:t>
      </w:r>
      <w:proofErr w:type="spellStart"/>
      <w:r w:rsidRPr="00DB1095">
        <w:rPr>
          <w:color w:val="0F1115"/>
          <w:sz w:val="28"/>
          <w:szCs w:val="28"/>
          <w:lang w:val="en-US"/>
        </w:rPr>
        <w:t>Odean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T. Trading Is Hazardous to Your Wealth // </w:t>
      </w:r>
      <w:proofErr w:type="gramStart"/>
      <w:r w:rsidRPr="00DB1095">
        <w:rPr>
          <w:color w:val="0F1115"/>
          <w:sz w:val="28"/>
          <w:szCs w:val="28"/>
          <w:lang w:val="en-US"/>
        </w:rPr>
        <w:t>The</w:t>
      </w:r>
      <w:proofErr w:type="gramEnd"/>
      <w:r w:rsidRPr="00DB1095">
        <w:rPr>
          <w:color w:val="0F1115"/>
          <w:sz w:val="28"/>
          <w:szCs w:val="28"/>
          <w:lang w:val="en-US"/>
        </w:rPr>
        <w:t xml:space="preserve"> Journal of Finance. — 2000. — Vol. 55, No. 2. — P. 773–806.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DB1095">
        <w:rPr>
          <w:color w:val="0F1115"/>
          <w:sz w:val="28"/>
          <w:szCs w:val="28"/>
          <w:lang w:val="en-US"/>
        </w:rPr>
        <w:t>Gu</w:t>
      </w:r>
      <w:proofErr w:type="spellEnd"/>
      <w:proofErr w:type="gramEnd"/>
      <w:r w:rsidRPr="00DB1095">
        <w:rPr>
          <w:color w:val="0F1115"/>
          <w:sz w:val="28"/>
          <w:szCs w:val="28"/>
          <w:lang w:val="en-US"/>
        </w:rPr>
        <w:t xml:space="preserve">, S., Kelly, B., </w:t>
      </w:r>
      <w:proofErr w:type="spellStart"/>
      <w:r w:rsidRPr="00DB1095">
        <w:rPr>
          <w:color w:val="0F1115"/>
          <w:sz w:val="28"/>
          <w:szCs w:val="28"/>
          <w:lang w:val="en-US"/>
        </w:rPr>
        <w:t>Xiu</w:t>
      </w:r>
      <w:proofErr w:type="spellEnd"/>
      <w:r w:rsidRPr="00DB1095">
        <w:rPr>
          <w:color w:val="0F1115"/>
          <w:sz w:val="28"/>
          <w:szCs w:val="28"/>
          <w:lang w:val="en-US"/>
        </w:rPr>
        <w:t>, D. Empirical Asset Pricing via Machine Learning // The Review of Financial Studies. — 2020. — Vol. 33, No. 5. — P. 2223–2273.</w:t>
      </w:r>
    </w:p>
    <w:p w:rsidR="00532D9F" w:rsidRPr="00DB1095" w:rsidRDefault="00532D9F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DB1095">
        <w:rPr>
          <w:color w:val="0F1115"/>
          <w:sz w:val="28"/>
          <w:szCs w:val="28"/>
          <w:lang w:val="en-US"/>
        </w:rPr>
        <w:t>Gu</w:t>
      </w:r>
      <w:proofErr w:type="spellEnd"/>
      <w:proofErr w:type="gramEnd"/>
      <w:r w:rsidRPr="00DB1095">
        <w:rPr>
          <w:color w:val="0F1115"/>
          <w:sz w:val="28"/>
          <w:szCs w:val="28"/>
          <w:lang w:val="en-US"/>
        </w:rPr>
        <w:t xml:space="preserve">, S., Kelly, B., </w:t>
      </w:r>
      <w:proofErr w:type="spellStart"/>
      <w:r w:rsidRPr="00DB1095">
        <w:rPr>
          <w:color w:val="0F1115"/>
          <w:sz w:val="28"/>
          <w:szCs w:val="28"/>
          <w:lang w:val="en-US"/>
        </w:rPr>
        <w:t>Xiu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, D. </w:t>
      </w:r>
      <w:proofErr w:type="spellStart"/>
      <w:r w:rsidRPr="00DB1095">
        <w:rPr>
          <w:color w:val="0F1115"/>
          <w:sz w:val="28"/>
          <w:szCs w:val="28"/>
          <w:lang w:val="en-US"/>
        </w:rPr>
        <w:t>Autoencoder</w:t>
      </w:r>
      <w:proofErr w:type="spellEnd"/>
      <w:r w:rsidRPr="00DB1095">
        <w:rPr>
          <w:color w:val="0F1115"/>
          <w:sz w:val="28"/>
          <w:szCs w:val="28"/>
          <w:lang w:val="en-US"/>
        </w:rPr>
        <w:t xml:space="preserve"> Asset Pricing Models // Journal of Econometrics. — 2021. — Vol. 222, No. 1. — P. 429–450.</w:t>
      </w:r>
    </w:p>
    <w:p w:rsidR="00532D9F" w:rsidRPr="00DB1095" w:rsidRDefault="00CB0C79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Lo</w:t>
      </w:r>
      <w:bookmarkStart w:id="0" w:name="_GoBack"/>
      <w:bookmarkEnd w:id="0"/>
      <w:r w:rsidR="00532D9F" w:rsidRPr="00DB1095">
        <w:rPr>
          <w:color w:val="0F1115"/>
          <w:sz w:val="28"/>
          <w:szCs w:val="28"/>
          <w:lang w:val="en-US"/>
        </w:rPr>
        <w:t>pez de Prado, M. Advances in Financial Machine Learning. — Wiley, 2018.</w:t>
      </w:r>
    </w:p>
    <w:p w:rsidR="00E15B87" w:rsidRPr="00DB1095" w:rsidRDefault="00DB1095" w:rsidP="00DB109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DB1095">
        <w:rPr>
          <w:color w:val="0F1115"/>
          <w:sz w:val="28"/>
          <w:szCs w:val="28"/>
          <w:lang w:val="en-US"/>
        </w:rPr>
        <w:t>Alkhfajee</w:t>
      </w:r>
      <w:proofErr w:type="spellEnd"/>
      <w:r w:rsidRPr="00DB1095">
        <w:rPr>
          <w:color w:val="0F1115"/>
          <w:sz w:val="28"/>
          <w:szCs w:val="28"/>
          <w:lang w:val="en-US"/>
        </w:rPr>
        <w:t>, Z.K., Al-Sultan, A.Y. Advancements in Stock Market Prediction Techniques: A Comprehensive Survey // Journal of University of Babylon for Pure and Applied Sciences. — 2024. — Vol. 32, No. 3. — P. 122–143.</w:t>
      </w:r>
    </w:p>
    <w:sectPr w:rsidR="00E15B87" w:rsidRPr="00DB1095" w:rsidSect="00991A6E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2374A"/>
    <w:multiLevelType w:val="multilevel"/>
    <w:tmpl w:val="7F52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CC6D3C"/>
    <w:multiLevelType w:val="multilevel"/>
    <w:tmpl w:val="B0E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4E4196"/>
    <w:multiLevelType w:val="multilevel"/>
    <w:tmpl w:val="D04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8068CF"/>
    <w:multiLevelType w:val="hybridMultilevel"/>
    <w:tmpl w:val="1B96B56C"/>
    <w:lvl w:ilvl="0" w:tplc="8AAED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32252D"/>
    <w:multiLevelType w:val="multilevel"/>
    <w:tmpl w:val="DE16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3122E4"/>
    <w:multiLevelType w:val="hybridMultilevel"/>
    <w:tmpl w:val="0BD67236"/>
    <w:lvl w:ilvl="0" w:tplc="D248AD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10847B8"/>
    <w:multiLevelType w:val="hybridMultilevel"/>
    <w:tmpl w:val="0DFCDE46"/>
    <w:lvl w:ilvl="0" w:tplc="A8765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AD12D77"/>
    <w:multiLevelType w:val="hybridMultilevel"/>
    <w:tmpl w:val="BD7EF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150AD8"/>
    <w:multiLevelType w:val="multilevel"/>
    <w:tmpl w:val="4D1E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9270A8"/>
    <w:multiLevelType w:val="hybridMultilevel"/>
    <w:tmpl w:val="E990BDDE"/>
    <w:lvl w:ilvl="0" w:tplc="EB3E44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9E472E2"/>
    <w:multiLevelType w:val="hybridMultilevel"/>
    <w:tmpl w:val="B2D8B332"/>
    <w:lvl w:ilvl="0" w:tplc="FAE861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A5C0025"/>
    <w:multiLevelType w:val="multilevel"/>
    <w:tmpl w:val="6F4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2710A3"/>
    <w:multiLevelType w:val="multilevel"/>
    <w:tmpl w:val="F956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5C3097"/>
    <w:multiLevelType w:val="multilevel"/>
    <w:tmpl w:val="BCA4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"/>
  </w:num>
  <w:num w:numId="5">
    <w:abstractNumId w:val="0"/>
  </w:num>
  <w:num w:numId="6">
    <w:abstractNumId w:val="8"/>
  </w:num>
  <w:num w:numId="7">
    <w:abstractNumId w:val="13"/>
  </w:num>
  <w:num w:numId="8">
    <w:abstractNumId w:val="4"/>
  </w:num>
  <w:num w:numId="9">
    <w:abstractNumId w:val="11"/>
  </w:num>
  <w:num w:numId="10">
    <w:abstractNumId w:val="6"/>
  </w:num>
  <w:num w:numId="11">
    <w:abstractNumId w:val="10"/>
  </w:num>
  <w:num w:numId="12">
    <w:abstractNumId w:val="5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D51"/>
    <w:rsid w:val="00181D31"/>
    <w:rsid w:val="001B31F6"/>
    <w:rsid w:val="001E7DD2"/>
    <w:rsid w:val="002A609B"/>
    <w:rsid w:val="002B68BF"/>
    <w:rsid w:val="002D0F7F"/>
    <w:rsid w:val="002F3697"/>
    <w:rsid w:val="00404C51"/>
    <w:rsid w:val="00532D9F"/>
    <w:rsid w:val="005A149A"/>
    <w:rsid w:val="005C0DCA"/>
    <w:rsid w:val="005C2D51"/>
    <w:rsid w:val="005C6BF5"/>
    <w:rsid w:val="005E13C3"/>
    <w:rsid w:val="006127CE"/>
    <w:rsid w:val="007565D3"/>
    <w:rsid w:val="00991A6E"/>
    <w:rsid w:val="00AB4B00"/>
    <w:rsid w:val="00AB5F34"/>
    <w:rsid w:val="00BD2B82"/>
    <w:rsid w:val="00C8774F"/>
    <w:rsid w:val="00CB0C79"/>
    <w:rsid w:val="00DB1095"/>
    <w:rsid w:val="00DE7BD0"/>
    <w:rsid w:val="00E0653A"/>
    <w:rsid w:val="00E15B87"/>
    <w:rsid w:val="00F3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B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B87"/>
    <w:pPr>
      <w:ind w:left="720"/>
      <w:contextualSpacing/>
    </w:pPr>
  </w:style>
  <w:style w:type="paragraph" w:customStyle="1" w:styleId="ds-markdown-paragraph">
    <w:name w:val="ds-markdown-paragraph"/>
    <w:basedOn w:val="a"/>
    <w:rsid w:val="001E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B4B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AB4B00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4B00"/>
    <w:rPr>
      <w:rFonts w:ascii="Tahoma" w:hAnsi="Tahoma" w:cs="Tahoma"/>
      <w:sz w:val="16"/>
      <w:szCs w:val="16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AB4B0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B4B0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B4B00"/>
    <w:pPr>
      <w:spacing w:after="100"/>
      <w:ind w:left="440"/>
    </w:pPr>
    <w:rPr>
      <w:rFonts w:eastAsiaTheme="minorEastAsia"/>
      <w:lang w:eastAsia="ru-RU"/>
    </w:rPr>
  </w:style>
  <w:style w:type="paragraph" w:styleId="a7">
    <w:name w:val="No Spacing"/>
    <w:link w:val="a8"/>
    <w:uiPriority w:val="1"/>
    <w:qFormat/>
    <w:rsid w:val="00991A6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991A6E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B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B87"/>
    <w:pPr>
      <w:ind w:left="720"/>
      <w:contextualSpacing/>
    </w:pPr>
  </w:style>
  <w:style w:type="paragraph" w:customStyle="1" w:styleId="ds-markdown-paragraph">
    <w:name w:val="ds-markdown-paragraph"/>
    <w:basedOn w:val="a"/>
    <w:rsid w:val="001E7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B4B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AB4B00"/>
    <w:pPr>
      <w:outlineLvl w:val="9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4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B4B00"/>
    <w:rPr>
      <w:rFonts w:ascii="Tahoma" w:hAnsi="Tahoma" w:cs="Tahoma"/>
      <w:sz w:val="16"/>
      <w:szCs w:val="16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AB4B0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B4B00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B4B00"/>
    <w:pPr>
      <w:spacing w:after="100"/>
      <w:ind w:left="440"/>
    </w:pPr>
    <w:rPr>
      <w:rFonts w:eastAsiaTheme="minorEastAsia"/>
      <w:lang w:eastAsia="ru-RU"/>
    </w:rPr>
  </w:style>
  <w:style w:type="paragraph" w:styleId="a7">
    <w:name w:val="No Spacing"/>
    <w:link w:val="a8"/>
    <w:uiPriority w:val="1"/>
    <w:qFormat/>
    <w:rsid w:val="00991A6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991A6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44CC1F318F84BBA9882D020B858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EB6C5D-40C0-4B01-82E0-DF2220843999}"/>
      </w:docPartPr>
      <w:docPartBody>
        <w:p w:rsidR="00000000" w:rsidRDefault="00AF6FBC" w:rsidP="00AF6FBC">
          <w:pPr>
            <w:pStyle w:val="144CC1F318F84BBA9882D020B85843B4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[Введите название документа]</w:t>
          </w:r>
        </w:p>
      </w:docPartBody>
    </w:docPart>
    <w:docPart>
      <w:docPartPr>
        <w:name w:val="45E96E60622D413AAE223CD7A8EDE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0AEC9-2028-4C0E-AB01-3E4F279052EE}"/>
      </w:docPartPr>
      <w:docPartBody>
        <w:p w:rsidR="00000000" w:rsidRDefault="00AF6FBC" w:rsidP="00AF6FBC">
          <w:pPr>
            <w:pStyle w:val="45E96E60622D413AAE223CD7A8EDE042"/>
          </w:pPr>
          <w:r>
            <w:rPr>
              <w:b/>
              <w:bCs/>
            </w:rPr>
            <w:t>[Выберите дату]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BC"/>
    <w:rsid w:val="00327820"/>
    <w:rsid w:val="00A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45DF5110154473B3C4738704BFD328">
    <w:name w:val="1245DF5110154473B3C4738704BFD328"/>
    <w:rsid w:val="00AF6FBC"/>
  </w:style>
  <w:style w:type="paragraph" w:customStyle="1" w:styleId="5F6972D4037E433F94585471DD7BDC3A">
    <w:name w:val="5F6972D4037E433F94585471DD7BDC3A"/>
    <w:rsid w:val="00AF6FBC"/>
  </w:style>
  <w:style w:type="paragraph" w:customStyle="1" w:styleId="E6537ED13BAF4D75B9ADB0A8470E9838">
    <w:name w:val="E6537ED13BAF4D75B9ADB0A8470E9838"/>
    <w:rsid w:val="00AF6FBC"/>
  </w:style>
  <w:style w:type="paragraph" w:customStyle="1" w:styleId="D74499960E53450A84A166031C5E1799">
    <w:name w:val="D74499960E53450A84A166031C5E1799"/>
    <w:rsid w:val="00AF6FBC"/>
  </w:style>
  <w:style w:type="paragraph" w:customStyle="1" w:styleId="79EED1E37270466AB903B735B112E824">
    <w:name w:val="79EED1E37270466AB903B735B112E824"/>
    <w:rsid w:val="00AF6FBC"/>
  </w:style>
  <w:style w:type="paragraph" w:customStyle="1" w:styleId="04B8C5D3D9C4427B9D4EC549DBD1E911">
    <w:name w:val="04B8C5D3D9C4427B9D4EC549DBD1E911"/>
    <w:rsid w:val="00AF6FBC"/>
  </w:style>
  <w:style w:type="paragraph" w:customStyle="1" w:styleId="723B5C7568B04F3B85CA5393918809F3">
    <w:name w:val="723B5C7568B04F3B85CA5393918809F3"/>
    <w:rsid w:val="00AF6FBC"/>
  </w:style>
  <w:style w:type="paragraph" w:customStyle="1" w:styleId="D77202ECF64347B0A653F5991C3F547E">
    <w:name w:val="D77202ECF64347B0A653F5991C3F547E"/>
    <w:rsid w:val="00AF6FBC"/>
  </w:style>
  <w:style w:type="paragraph" w:customStyle="1" w:styleId="222F4CC498594EE49DC99D8094CF9B45">
    <w:name w:val="222F4CC498594EE49DC99D8094CF9B45"/>
    <w:rsid w:val="00AF6FBC"/>
  </w:style>
  <w:style w:type="paragraph" w:customStyle="1" w:styleId="DD7CFD3C31C54B09BB5180D52FB5B3B5">
    <w:name w:val="DD7CFD3C31C54B09BB5180D52FB5B3B5"/>
    <w:rsid w:val="00AF6FBC"/>
  </w:style>
  <w:style w:type="paragraph" w:customStyle="1" w:styleId="00227374367644E78FB03C5169B2BD27">
    <w:name w:val="00227374367644E78FB03C5169B2BD27"/>
    <w:rsid w:val="00AF6FBC"/>
  </w:style>
  <w:style w:type="paragraph" w:customStyle="1" w:styleId="9E25332E42EB41D9B0E419E8CB5CD7E5">
    <w:name w:val="9E25332E42EB41D9B0E419E8CB5CD7E5"/>
    <w:rsid w:val="00AF6FBC"/>
  </w:style>
  <w:style w:type="paragraph" w:customStyle="1" w:styleId="AF0EB8764F2343EBBA17F65A2BF93AD6">
    <w:name w:val="AF0EB8764F2343EBBA17F65A2BF93AD6"/>
    <w:rsid w:val="00AF6FBC"/>
  </w:style>
  <w:style w:type="paragraph" w:customStyle="1" w:styleId="144CC1F318F84BBA9882D020B85843B4">
    <w:name w:val="144CC1F318F84BBA9882D020B85843B4"/>
    <w:rsid w:val="00AF6FBC"/>
  </w:style>
  <w:style w:type="paragraph" w:customStyle="1" w:styleId="1C8EB5ABBDCB41AF85630A4084FF4B38">
    <w:name w:val="1C8EB5ABBDCB41AF85630A4084FF4B38"/>
    <w:rsid w:val="00AF6FBC"/>
  </w:style>
  <w:style w:type="paragraph" w:customStyle="1" w:styleId="8DFC783F0F984C44BBFF2A9E733D5ADC">
    <w:name w:val="8DFC783F0F984C44BBFF2A9E733D5ADC"/>
    <w:rsid w:val="00AF6FBC"/>
  </w:style>
  <w:style w:type="paragraph" w:customStyle="1" w:styleId="45E96E60622D413AAE223CD7A8EDE042">
    <w:name w:val="45E96E60622D413AAE223CD7A8EDE042"/>
    <w:rsid w:val="00AF6FBC"/>
  </w:style>
  <w:style w:type="paragraph" w:customStyle="1" w:styleId="EC1BAECCD83B46FF87207014DD1B819B">
    <w:name w:val="EC1BAECCD83B46FF87207014DD1B819B"/>
    <w:rsid w:val="00AF6F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45DF5110154473B3C4738704BFD328">
    <w:name w:val="1245DF5110154473B3C4738704BFD328"/>
    <w:rsid w:val="00AF6FBC"/>
  </w:style>
  <w:style w:type="paragraph" w:customStyle="1" w:styleId="5F6972D4037E433F94585471DD7BDC3A">
    <w:name w:val="5F6972D4037E433F94585471DD7BDC3A"/>
    <w:rsid w:val="00AF6FBC"/>
  </w:style>
  <w:style w:type="paragraph" w:customStyle="1" w:styleId="E6537ED13BAF4D75B9ADB0A8470E9838">
    <w:name w:val="E6537ED13BAF4D75B9ADB0A8470E9838"/>
    <w:rsid w:val="00AF6FBC"/>
  </w:style>
  <w:style w:type="paragraph" w:customStyle="1" w:styleId="D74499960E53450A84A166031C5E1799">
    <w:name w:val="D74499960E53450A84A166031C5E1799"/>
    <w:rsid w:val="00AF6FBC"/>
  </w:style>
  <w:style w:type="paragraph" w:customStyle="1" w:styleId="79EED1E37270466AB903B735B112E824">
    <w:name w:val="79EED1E37270466AB903B735B112E824"/>
    <w:rsid w:val="00AF6FBC"/>
  </w:style>
  <w:style w:type="paragraph" w:customStyle="1" w:styleId="04B8C5D3D9C4427B9D4EC549DBD1E911">
    <w:name w:val="04B8C5D3D9C4427B9D4EC549DBD1E911"/>
    <w:rsid w:val="00AF6FBC"/>
  </w:style>
  <w:style w:type="paragraph" w:customStyle="1" w:styleId="723B5C7568B04F3B85CA5393918809F3">
    <w:name w:val="723B5C7568B04F3B85CA5393918809F3"/>
    <w:rsid w:val="00AF6FBC"/>
  </w:style>
  <w:style w:type="paragraph" w:customStyle="1" w:styleId="D77202ECF64347B0A653F5991C3F547E">
    <w:name w:val="D77202ECF64347B0A653F5991C3F547E"/>
    <w:rsid w:val="00AF6FBC"/>
  </w:style>
  <w:style w:type="paragraph" w:customStyle="1" w:styleId="222F4CC498594EE49DC99D8094CF9B45">
    <w:name w:val="222F4CC498594EE49DC99D8094CF9B45"/>
    <w:rsid w:val="00AF6FBC"/>
  </w:style>
  <w:style w:type="paragraph" w:customStyle="1" w:styleId="DD7CFD3C31C54B09BB5180D52FB5B3B5">
    <w:name w:val="DD7CFD3C31C54B09BB5180D52FB5B3B5"/>
    <w:rsid w:val="00AF6FBC"/>
  </w:style>
  <w:style w:type="paragraph" w:customStyle="1" w:styleId="00227374367644E78FB03C5169B2BD27">
    <w:name w:val="00227374367644E78FB03C5169B2BD27"/>
    <w:rsid w:val="00AF6FBC"/>
  </w:style>
  <w:style w:type="paragraph" w:customStyle="1" w:styleId="9E25332E42EB41D9B0E419E8CB5CD7E5">
    <w:name w:val="9E25332E42EB41D9B0E419E8CB5CD7E5"/>
    <w:rsid w:val="00AF6FBC"/>
  </w:style>
  <w:style w:type="paragraph" w:customStyle="1" w:styleId="AF0EB8764F2343EBBA17F65A2BF93AD6">
    <w:name w:val="AF0EB8764F2343EBBA17F65A2BF93AD6"/>
    <w:rsid w:val="00AF6FBC"/>
  </w:style>
  <w:style w:type="paragraph" w:customStyle="1" w:styleId="144CC1F318F84BBA9882D020B85843B4">
    <w:name w:val="144CC1F318F84BBA9882D020B85843B4"/>
    <w:rsid w:val="00AF6FBC"/>
  </w:style>
  <w:style w:type="paragraph" w:customStyle="1" w:styleId="1C8EB5ABBDCB41AF85630A4084FF4B38">
    <w:name w:val="1C8EB5ABBDCB41AF85630A4084FF4B38"/>
    <w:rsid w:val="00AF6FBC"/>
  </w:style>
  <w:style w:type="paragraph" w:customStyle="1" w:styleId="8DFC783F0F984C44BBFF2A9E733D5ADC">
    <w:name w:val="8DFC783F0F984C44BBFF2A9E733D5ADC"/>
    <w:rsid w:val="00AF6FBC"/>
  </w:style>
  <w:style w:type="paragraph" w:customStyle="1" w:styleId="45E96E60622D413AAE223CD7A8EDE042">
    <w:name w:val="45E96E60622D413AAE223CD7A8EDE042"/>
    <w:rsid w:val="00AF6FBC"/>
  </w:style>
  <w:style w:type="paragraph" w:customStyle="1" w:styleId="EC1BAECCD83B46FF87207014DD1B819B">
    <w:name w:val="EC1BAECCD83B46FF87207014DD1B819B"/>
    <w:rsid w:val="00AF6F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75EF35-ADD4-4FBB-8217-A914791E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7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ИСПОЛЬЗОВАНИЕ СРЕДСТВ МАШИННОГО ОБУЧЕНИЯ В ПРОГНОЗИРОВАНИИ ДОХОДНОСТИ ПОРТФЕЛЯ ЦЕННЫХ БУМАГ</vt:lpstr>
    </vt:vector>
  </TitlesOfParts>
  <Company/>
  <LinksUpToDate>false</LinksUpToDate>
  <CharactersWithSpaces>8983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СРЕДСТВ МАШИННОГО ОБУЧЕНИЯ В ПРОГНОЗИРОВАНИИ ДОХОДНОСТИ ПОРТФЕЛЯ ЦЕННЫХ БУМАГ</dc:title>
  <dc:creator>User</dc:creator>
  <cp:lastModifiedBy>User</cp:lastModifiedBy>
  <cp:revision>14</cp:revision>
  <cp:lastPrinted>2026-10-05T09:15:00Z</cp:lastPrinted>
  <dcterms:created xsi:type="dcterms:W3CDTF">2026-10-01T06:22:00Z</dcterms:created>
  <dcterms:modified xsi:type="dcterms:W3CDTF">2026-10-05T09:16:00Z</dcterms:modified>
</cp:coreProperties>
</file>