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Manual de usuario y documentación técnica — Portal Ferragro</w:t>
      </w:r>
    </w:p>
    <w:p>
      <w:r>
        <w:t xml:space="preserve">Documento único de apoyo al </w:t>
      </w:r>
      <w:r>
        <w:rPr>
          <w:b/>
        </w:rPr>
        <w:t>Portal de citas de entrega Ferragro</w:t>
      </w:r>
      <w:r>
        <w:t xml:space="preserve">. Complementa el </w:t>
      </w:r>
      <w:r>
        <w:rPr>
          <w:b/>
        </w:rPr>
        <w:t>manual guiado</w:t>
      </w:r>
      <w:r>
        <w:t xml:space="preserve"> integrado en la interfaz y concentra, al final, el </w:t>
      </w:r>
      <w:r>
        <w:rPr>
          <w:b/>
        </w:rPr>
        <w:t>índice de documentación técnica</w:t>
      </w:r>
      <w:r>
        <w:t xml:space="preserve"> ya existente en el repositorio.</w:t>
      </w:r>
    </w:p>
    <w:p/>
    <w:p>
      <w:pPr>
        <w:pStyle w:val="Heading1"/>
      </w:pPr>
      <w:r>
        <w:t>Parte 1. Manual de usuario (breve)</w:t>
      </w:r>
    </w:p>
    <w:p>
      <w:pPr>
        <w:pStyle w:val="Heading2"/>
      </w:pPr>
      <w:r>
        <w:t>1.1 Propósito del sistema</w:t>
      </w:r>
    </w:p>
    <w:p>
      <w:r>
        <w:t xml:space="preserve">El portal permite a </w:t>
      </w:r>
      <w:r>
        <w:rPr>
          <w:b/>
        </w:rPr>
        <w:t>proveedores</w:t>
      </w:r>
      <w:r>
        <w:t xml:space="preserve"> solicitar y gestionar citas de entrega de materiales, y al personal interno de </w:t>
      </w:r>
      <w:r>
        <w:rPr>
          <w:b/>
        </w:rPr>
        <w:t>logística</w:t>
      </w:r>
      <w:r>
        <w:t xml:space="preserve"> y </w:t>
      </w:r>
      <w:r>
        <w:rPr>
          <w:b/>
        </w:rPr>
        <w:t>administración</w:t>
      </w:r>
      <w:r>
        <w:t xml:space="preserve"> revisarlas, ajustarlas y auditarlas. El objetivo operativo es ordenar la agenda de entregas, evitar solapamientos de horario y dejar trazabilidad de los cambios relevantes.</w:t>
      </w:r>
    </w:p>
    <w:p>
      <w:pPr>
        <w:pStyle w:val="Heading2"/>
      </w:pPr>
      <w:r>
        <w:t>1.2 Roles y alcance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</w:t>
            </w:r>
          </w:p>
        </w:tc>
        <w:tc>
          <w:tcPr>
            <w:tcW w:type="dxa" w:w="4320"/>
          </w:tcPr>
          <w:p>
            <w:r>
              <w:t>Uso principal</w:t>
            </w:r>
          </w:p>
        </w:tc>
      </w:tr>
      <w:tr>
        <w:tc>
          <w:tcPr>
            <w:tcW w:type="dxa" w:w="4320"/>
          </w:tcPr>
          <w:p>
            <w:r>
              <w:t>**Proveedor**</w:t>
            </w:r>
          </w:p>
        </w:tc>
        <w:tc>
          <w:tcPr>
            <w:tcW w:type="dxa" w:w="4320"/>
          </w:tcPr>
          <w:p>
            <w:r>
              <w:t>Registro, inicio de sesión, creación y consulta de sus citas, reprogramación o cancelación según reglas, perfil y notificaciones.</w:t>
            </w:r>
          </w:p>
        </w:tc>
      </w:tr>
      <w:tr>
        <w:tc>
          <w:tcPr>
            <w:tcW w:type="dxa" w:w="4320"/>
          </w:tcPr>
          <w:p>
            <w:r>
              <w:t>**Logística**</w:t>
            </w:r>
          </w:p>
        </w:tc>
        <w:tc>
          <w:tcPr>
            <w:tcW w:type="dxa" w:w="4320"/>
          </w:tcPr>
          <w:p>
            <w:r>
              <w:t>Consulta y gestión operativa de citas (estado, extensión, búsqueda, historial), sin administración completa del equipo.</w:t>
            </w:r>
          </w:p>
        </w:tc>
      </w:tr>
      <w:tr>
        <w:tc>
          <w:tcPr>
            <w:tcW w:type="dxa" w:w="4320"/>
          </w:tcPr>
          <w:p>
            <w:r>
              <w:t>**Administrador**</w:t>
            </w:r>
          </w:p>
        </w:tc>
        <w:tc>
          <w:tcPr>
            <w:tcW w:type="dxa" w:w="4320"/>
          </w:tcPr>
          <w:p>
            <w:r>
              <w:t>Todo lo de logística más equipo interno, franjas horarias, analítica, auditoría ampliada y operaciones administrativas.</w:t>
            </w:r>
          </w:p>
        </w:tc>
      </w:tr>
    </w:tbl>
    <w:p/>
    <w:p>
      <w:r>
        <w:t>Cada rol ve solo las funciones autorizadas en el menú lateral del panel.</w:t>
      </w:r>
    </w:p>
    <w:p>
      <w:pPr>
        <w:pStyle w:val="Heading2"/>
      </w:pPr>
      <w:r>
        <w:t>1.3 Acceso al portal</w:t>
      </w:r>
    </w:p>
    <w:p>
      <w:pPr>
        <w:pStyle w:val="ListNumber"/>
      </w:pPr>
      <w:r>
        <w:t>Abrir la URL del frontend (entorno local o desplegado).</w:t>
      </w:r>
    </w:p>
    <w:p>
      <w:pPr>
        <w:pStyle w:val="ListNumber"/>
      </w:pPr>
      <w:r>
        <w:t>En la **landing** pública: **Iniciar sesión**, **Registrarme** o el recorrido **Manual paso a paso**.</w:t>
      </w:r>
    </w:p>
    <w:p>
      <w:pPr>
        <w:pStyle w:val="ListNumber"/>
      </w:pPr>
      <w:r>
        <w:t>**Registro de proveedor**: NIT de 10 dígitos con dígito de verificación, datos de empresa y responsable; el sistema valida formatos antes de crear la cuenta.</w:t>
      </w:r>
    </w:p>
    <w:p>
      <w:pPr>
        <w:pStyle w:val="ListNumber"/>
      </w:pPr>
      <w:r>
        <w:t>**Inicio de sesión**: correo y contraseña. Si olvidaste la clave, usa **Recuperar contraseña**; recibirás una contraseña temporal y deberás cambiarla al entrar.</w:t>
      </w:r>
    </w:p>
    <w:p>
      <w:pPr>
        <w:pStyle w:val="ListNumber"/>
      </w:pPr>
      <w:r>
        <w:t>Tras autenticarte, el panel carga según tu rol.</w:t>
      </w:r>
    </w:p>
    <w:p>
      <w:pPr>
        <w:pStyle w:val="Heading2"/>
      </w:pPr>
      <w:r>
        <w:t>1.4 Manual guiado en la interfaz</w:t>
      </w:r>
    </w:p>
    <w:p>
      <w:r>
        <w:t xml:space="preserve">El botón </w:t>
      </w:r>
      <w:r>
        <w:rPr>
          <w:b/>
        </w:rPr>
        <w:t>Manual guiado</w:t>
      </w:r>
      <w:r>
        <w:t xml:space="preserve"> (landing, login y panel) abre un recorrido por pantalla </w:t>
      </w:r>
      <w:r>
        <w:rPr>
          <w:b/>
        </w:rPr>
        <w:t>sin guardar cambios por sí solo</w:t>
      </w:r>
      <w:r>
        <w:t xml:space="preserve">. Úsalo para ubicar menú, módulos, notificaciones y flujos por rol. Este documento </w:t>
      </w:r>
      <w:r>
        <w:rPr>
          <w:b/>
        </w:rPr>
        <w:t>no sustituye</w:t>
      </w:r>
      <w:r>
        <w:t xml:space="preserve"> ese manual: lo amplía con reglas de negocio y situaciones habituales fuera de la pantalla.</w:t>
      </w:r>
    </w:p>
    <w:p>
      <w:pPr>
        <w:pStyle w:val="Heading2"/>
      </w:pPr>
      <w:r>
        <w:t>1.5 Navegación del panel</w:t>
      </w:r>
    </w:p>
    <w:p>
      <w:pPr>
        <w:pStyle w:val="ListBullet"/>
      </w:pPr>
      <w:r>
        <w:t>**Menú lateral**: elige el módulo; en móvil, abre primero **Menú**.</w:t>
      </w:r>
    </w:p>
    <w:p>
      <w:pPr>
        <w:pStyle w:val="ListBullet"/>
      </w:pPr>
      <w:r>
        <w:t>**Área central**: formularios, tablas, filtros y acciones del módulo activo.</w:t>
      </w:r>
    </w:p>
    <w:p>
      <w:pPr>
        <w:pStyle w:val="ListBullet"/>
      </w:pPr>
      <w:r>
        <w:t>**Notificaciones** (campana): avisos de citas nuevas o cambiadas; el contador indica no leídas.</w:t>
      </w:r>
    </w:p>
    <w:p>
      <w:pPr>
        <w:pStyle w:val="ListBullet"/>
      </w:pPr>
      <w:r>
        <w:t>**Configuraciones**: contraseña, perfil y foto.</w:t>
      </w:r>
    </w:p>
    <w:p>
      <w:pPr>
        <w:pStyle w:val="ListBullet"/>
      </w:pPr>
      <w:r>
        <w:t>**Cerrar sesión**: en el pie del menú; invalida la sesión en el servidor.</w:t>
      </w:r>
    </w:p>
    <w:p>
      <w:pPr>
        <w:pStyle w:val="Heading2"/>
      </w:pPr>
      <w:r>
        <w:t>1.6 Citas: reglas que debes conocer</w:t>
      </w:r>
    </w:p>
    <w:p>
      <w:pPr>
        <w:pStyle w:val="ListBullet"/>
      </w:pPr>
      <w:r>
        <w:t>**Anticipación mínima**: no se agenda con menos de la anticipación configurada (por defecto, 48 horas antes del inicio).</w:t>
      </w:r>
    </w:p>
    <w:p>
      <w:pPr>
        <w:pStyle w:val="ListBullet"/>
      </w:pPr>
      <w:r>
        <w:t>**Franjas horarias**: solo se ofrecen horarios dentro de las ventanas habilitadas para el día (regla base o excepción por fecha).</w:t>
      </w:r>
    </w:p>
    <w:p>
      <w:pPr>
        <w:pStyle w:val="ListBullet"/>
      </w:pPr>
      <w:r>
        <w:t>**Conflictos**: el sistema no permite solapamientos; si cambias fecha u hora, valida disponibilidad antes de confirmar.</w:t>
      </w:r>
    </w:p>
    <w:p>
      <w:pPr>
        <w:pStyle w:val="ListBullet"/>
      </w:pPr>
      <w:r>
        <w:t>**Estados habituales**: sin revisión, revisado, finalizada, no presentada, cancelado. Logística y administración cambian estado; el proveedor gestiona las propias según las opciones del panel.</w:t>
      </w:r>
    </w:p>
    <w:p>
      <w:pPr>
        <w:pStyle w:val="Heading2"/>
      </w:pPr>
      <w:r>
        <w:t>1.7 Flujo del proveedor</w:t>
      </w:r>
    </w:p>
    <w:p>
      <w:pPr>
        <w:pStyle w:val="ListNumber"/>
      </w:pPr>
      <w:r>
        <w:t>Crear cita con descripción del material, fecha y hora dentro de franja y anticipación.</w:t>
      </w:r>
    </w:p>
    <w:p>
      <w:pPr>
        <w:pStyle w:val="ListNumber"/>
      </w:pPr>
      <w:r>
        <w:t>Consultar citas propias (lista o calendario según la vista).</w:t>
      </w:r>
    </w:p>
    <w:p>
      <w:pPr>
        <w:pStyle w:val="ListNumber"/>
      </w:pPr>
      <w:r>
        <w:t>Reprogramar o cancelar cuando el módulo lo permita y respetando las mismas reglas.</w:t>
      </w:r>
    </w:p>
    <w:p>
      <w:pPr>
        <w:pStyle w:val="ListNumber"/>
      </w:pPr>
      <w:r>
        <w:t>Revisar notificaciones y el historial asociado a una cita cuando esté disponible para tu rol.</w:t>
      </w:r>
    </w:p>
    <w:p>
      <w:pPr>
        <w:pStyle w:val="ListNumber"/>
      </w:pPr>
      <w:r>
        <w:t>Mantener perfil y contraseña en **Configuraciones**.</w:t>
      </w:r>
    </w:p>
    <w:p>
      <w:pPr>
        <w:pStyle w:val="Heading2"/>
      </w:pPr>
      <w:r>
        <w:t>1.8 Flujo de logística</w:t>
      </w:r>
    </w:p>
    <w:p>
      <w:pPr>
        <w:pStyle w:val="ListNumber"/>
      </w:pPr>
      <w:r>
        <w:t>Revisar resumen y bandeja de **Revisión de citas**.</w:t>
      </w:r>
    </w:p>
    <w:p>
      <w:pPr>
        <w:pStyle w:val="ListNumber"/>
      </w:pPr>
      <w:r>
        <w:t>**Buscar citas** por rango, estado o proveedor.</w:t>
      </w:r>
    </w:p>
    <w:p>
      <w:pPr>
        <w:pStyle w:val="ListNumber"/>
      </w:pPr>
      <w:r>
        <w:t>Cambiar estado, extender duración si no hay conflicto posterior y consultar historial.</w:t>
      </w:r>
    </w:p>
    <w:p>
      <w:pPr>
        <w:pStyle w:val="ListNumber"/>
      </w:pPr>
      <w:r>
        <w:t>Usar notificaciones para priorizar pendientes.</w:t>
      </w:r>
    </w:p>
    <w:p>
      <w:pPr>
        <w:pStyle w:val="ListNumber"/>
      </w:pPr>
      <w:r>
        <w:t>Exportar o filtrar resultados cuando la vista lo ofrezca (por ejemplo CSV).</w:t>
      </w:r>
    </w:p>
    <w:p>
      <w:pPr>
        <w:pStyle w:val="Heading2"/>
      </w:pPr>
      <w:r>
        <w:t>1.9 Flujo del administrador</w:t>
      </w:r>
    </w:p>
    <w:p>
      <w:r>
        <w:t xml:space="preserve">Incluye lo de logística y además, según menú: </w:t>
      </w:r>
      <w:r>
        <w:rPr>
          <w:b/>
        </w:rPr>
        <w:t>Analítica</w:t>
      </w:r>
      <w:r>
        <w:t xml:space="preserve">, </w:t>
      </w:r>
      <w:r>
        <w:rPr>
          <w:b/>
        </w:rPr>
        <w:t>Franjas horarias</w:t>
      </w:r>
      <w:r>
        <w:t xml:space="preserve">, </w:t>
      </w:r>
      <w:r>
        <w:rPr>
          <w:b/>
        </w:rPr>
        <w:t>Equipo</w:t>
      </w:r>
      <w:r>
        <w:t xml:space="preserve"> (usuarios y roles internos), </w:t>
      </w:r>
      <w:r>
        <w:rPr>
          <w:b/>
        </w:rPr>
        <w:t>Auditoría</w:t>
      </w:r>
      <w:r>
        <w:t xml:space="preserve"> del sistema y ajustes operativos. Solo administración define franjas globales o por fecha y gestiona el equipo interno con privilegios elevados.</w:t>
      </w:r>
    </w:p>
    <w:p>
      <w:pPr>
        <w:pStyle w:val="Heading2"/>
      </w:pPr>
      <w:r>
        <w:t>1.10 Situaciones frecuentes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Situación</w:t>
            </w:r>
          </w:p>
        </w:tc>
        <w:tc>
          <w:tcPr>
            <w:tcW w:type="dxa" w:w="4320"/>
          </w:tcPr>
          <w:p>
            <w:r>
              <w:t>Qué hacer</w:t>
            </w:r>
          </w:p>
        </w:tc>
      </w:tr>
      <w:tr>
        <w:tc>
          <w:tcPr>
            <w:tcW w:type="dxa" w:w="4320"/>
          </w:tcPr>
          <w:p>
            <w:r>
              <w:t>No puedo iniciar sesión tras varios intentos</w:t>
            </w:r>
          </w:p>
        </w:tc>
        <w:tc>
          <w:tcPr>
            <w:tcW w:type="dxa" w:w="4320"/>
          </w:tcPr>
          <w:p>
            <w:r>
              <w:t>Esperar el desbloqueo temporal o contactar al administrador.</w:t>
            </w:r>
          </w:p>
        </w:tc>
      </w:tr>
      <w:tr>
        <w:tc>
          <w:tcPr>
            <w:tcW w:type="dxa" w:w="4320"/>
          </w:tcPr>
          <w:p>
            <w:r>
              <w:t>Contraseña temporal tras recuperación</w:t>
            </w:r>
          </w:p>
        </w:tc>
        <w:tc>
          <w:tcPr>
            <w:tcW w:type="dxa" w:w="4320"/>
          </w:tcPr>
          <w:p>
            <w:r>
              <w:t>Cambiar contraseña en el primer acceso o en Configuraciones.</w:t>
            </w:r>
          </w:p>
        </w:tc>
      </w:tr>
      <w:tr>
        <w:tc>
          <w:tcPr>
            <w:tcW w:type="dxa" w:w="4320"/>
          </w:tcPr>
          <w:p>
            <w:r>
              <w:t>No hay horarios para un día</w:t>
            </w:r>
          </w:p>
        </w:tc>
        <w:tc>
          <w:tcPr>
            <w:tcW w:type="dxa" w:w="4320"/>
          </w:tcPr>
          <w:p>
            <w:r>
              <w:t>Revisar franjas del día o elegir otra fecha.</w:t>
            </w:r>
          </w:p>
        </w:tc>
      </w:tr>
      <w:tr>
        <w:tc>
          <w:tcPr>
            <w:tcW w:type="dxa" w:w="4320"/>
          </w:tcPr>
          <w:p>
            <w:r>
              <w:t>Error al guardar por conflicto</w:t>
            </w:r>
          </w:p>
        </w:tc>
        <w:tc>
          <w:tcPr>
            <w:tcW w:type="dxa" w:w="4320"/>
          </w:tcPr>
          <w:p>
            <w:r>
              <w:t>Elegir otro turno; el sistema evita solapamientos.</w:t>
            </w:r>
          </w:p>
        </w:tc>
      </w:tr>
      <w:tr>
        <w:tc>
          <w:tcPr>
            <w:tcW w:type="dxa" w:w="4320"/>
          </w:tcPr>
          <w:p>
            <w:r>
              <w:t>No veo citas de otro proveedor</w:t>
            </w:r>
          </w:p>
        </w:tc>
        <w:tc>
          <w:tcPr>
            <w:tcW w:type="dxa" w:w="4320"/>
          </w:tcPr>
          <w:p>
            <w:r>
              <w:t>Comportamiento esperado: el proveedor solo ve las propias.</w:t>
            </w:r>
          </w:p>
        </w:tc>
      </w:tr>
    </w:tbl>
    <w:p/>
    <w:p>
      <w:pPr>
        <w:pStyle w:val="Heading2"/>
      </w:pPr>
      <w:r>
        <w:t>1.11 Buenas prácticas</w:t>
      </w:r>
    </w:p>
    <w:p>
      <w:pPr>
        <w:pStyle w:val="ListBullet"/>
      </w:pPr>
      <w:r>
        <w:t>Completar la descripción del material con claridad para logística.</w:t>
      </w:r>
    </w:p>
    <w:p>
      <w:pPr>
        <w:pStyle w:val="ListBullet"/>
      </w:pPr>
      <w:r>
        <w:t>Confirmar fecha y hora antes de cerrar el formulario; en borrador, el sistema puede conservar datos locales según la pantalla.</w:t>
      </w:r>
    </w:p>
    <w:p>
      <w:pPr>
        <w:pStyle w:val="ListBullet"/>
      </w:pPr>
      <w:r>
        <w:t>Cerrar sesión en equipos compartidos.</w:t>
      </w:r>
    </w:p>
    <w:p>
      <w:pPr>
        <w:pStyle w:val="ListBullet"/>
      </w:pPr>
      <w:r>
        <w:t>Ante dudas de pantalla, abrir **Manual guiado**; ante reglas de negocio, usar este documento.</w:t>
      </w:r>
    </w:p>
    <w:p/>
    <w:p>
      <w:pPr>
        <w:pStyle w:val="Heading1"/>
      </w:pPr>
      <w:r>
        <w:t>Parte 2. Índice de documentación técnica</w:t>
      </w:r>
    </w:p>
    <w:p>
      <w:r>
        <w:t xml:space="preserve">No se duplica aquí un manual técnico extenso. La documentación técnica del proyecto está repartida en los artefactos siguientes. Este índice indica </w:t>
      </w:r>
      <w:r>
        <w:rPr>
          <w:b/>
        </w:rPr>
        <w:t>qué consultar</w:t>
      </w:r>
      <w:r>
        <w:t xml:space="preserve"> y </w:t>
      </w:r>
      <w:r>
        <w:rPr>
          <w:b/>
        </w:rPr>
        <w:t>para qué</w:t>
      </w:r>
      <w:r>
        <w:t>.</w:t>
      </w:r>
    </w:p>
    <w:p>
      <w:pPr>
        <w:pStyle w:val="Heading2"/>
      </w:pPr>
      <w:r>
        <w:t>2.1 Arranque, arquitectura y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Documento</w:t>
            </w:r>
          </w:p>
        </w:tc>
        <w:tc>
          <w:tcPr>
            <w:tcW w:type="dxa" w:w="2880"/>
          </w:tcPr>
          <w:p>
            <w:r>
              <w:t>Ubicación</w:t>
            </w:r>
          </w:p>
        </w:tc>
        <w:tc>
          <w:tcPr>
            <w:tcW w:type="dxa" w:w="2880"/>
          </w:tcPr>
          <w:p>
            <w:r>
              <w:t>Contenido</w:t>
            </w:r>
          </w:p>
        </w:tc>
      </w:tr>
      <w:tr>
        <w:tc>
          <w:tcPr>
            <w:tcW w:type="dxa" w:w="2880"/>
          </w:tcPr>
          <w:p>
            <w:r>
              <w:t>README del proyecto</w:t>
            </w:r>
          </w:p>
        </w:tc>
        <w:tc>
          <w:tcPr>
            <w:tcW w:type="dxa" w:w="2880"/>
          </w:tcPr>
          <w:p>
            <w:r>
              <w:t>[README.md](../README.md)</w:t>
            </w:r>
          </w:p>
        </w:tc>
        <w:tc>
          <w:tcPr>
            <w:tcW w:type="dxa" w:w="2880"/>
          </w:tcPr>
          <w:p>
            <w:r>
              <w:t>Estructura del repositorio, modelos principales, endpoints, autenticación JWT/refresh, variables de entorno y puesta en marcha local.</w:t>
            </w:r>
          </w:p>
        </w:tc>
      </w:tr>
      <w:tr>
        <w:tc>
          <w:tcPr>
            <w:tcW w:type="dxa" w:w="2880"/>
          </w:tcPr>
          <w:p>
            <w:r>
              <w:t>Documentación interactiva de API</w:t>
            </w:r>
          </w:p>
        </w:tc>
        <w:tc>
          <w:tcPr>
            <w:tcW w:type="dxa" w:w="2880"/>
          </w:tcPr>
          <w:p>
            <w:r>
              <w:t>`http://localhost:8000/docs` (entorno local)</w:t>
            </w:r>
          </w:p>
        </w:tc>
        <w:tc>
          <w:tcPr>
            <w:tcW w:type="dxa" w:w="2880"/>
          </w:tcPr>
          <w:p>
            <w:r>
              <w:t>Contrato OpenAPI/Swagger generado por el backend.</w:t>
            </w:r>
          </w:p>
        </w:tc>
      </w:tr>
      <w:tr>
        <w:tc>
          <w:tcPr>
            <w:tcW w:type="dxa" w:w="2880"/>
          </w:tcPr>
          <w:p>
            <w:r>
              <w:t>Salud del servicio</w:t>
            </w:r>
          </w:p>
        </w:tc>
        <w:tc>
          <w:tcPr>
            <w:tcW w:type="dxa" w:w="2880"/>
          </w:tcPr>
          <w:p>
            <w:r>
              <w:t>`GET /health`</w:t>
            </w:r>
          </w:p>
        </w:tc>
        <w:tc>
          <w:tcPr>
            <w:tcW w:type="dxa" w:w="2880"/>
          </w:tcPr>
          <w:p>
            <w:r>
              <w:t>Comprobación básica de disponibilidad del backend.</w:t>
            </w:r>
          </w:p>
        </w:tc>
      </w:tr>
    </w:tbl>
    <w:p/>
    <w:p>
      <w:pPr>
        <w:pStyle w:val="Heading2"/>
      </w:pPr>
      <w:r>
        <w:t>2.2 Base de datos y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Documento</w:t>
            </w:r>
          </w:p>
        </w:tc>
        <w:tc>
          <w:tcPr>
            <w:tcW w:type="dxa" w:w="2880"/>
          </w:tcPr>
          <w:p>
            <w:r>
              <w:t>Ubicación</w:t>
            </w:r>
          </w:p>
        </w:tc>
        <w:tc>
          <w:tcPr>
            <w:tcW w:type="dxa" w:w="2880"/>
          </w:tcPr>
          <w:p>
            <w:r>
              <w:t>Contenido</w:t>
            </w:r>
          </w:p>
        </w:tc>
      </w:tr>
      <w:tr>
        <w:tc>
          <w:tcPr>
            <w:tcW w:type="dxa" w:w="2880"/>
          </w:tcPr>
          <w:p>
            <w:r>
              <w:t>Guía de base de datos</w:t>
            </w:r>
          </w:p>
        </w:tc>
        <w:tc>
          <w:tcPr>
            <w:tcW w:type="dxa" w:w="2880"/>
          </w:tcPr>
          <w:p>
            <w:r>
              <w:t>[db/README.md](../db/README.md)</w:t>
            </w:r>
          </w:p>
        </w:tc>
        <w:tc>
          <w:tcPr>
            <w:tcW w:type="dxa" w:w="2880"/>
          </w:tcPr>
          <w:p>
            <w:r>
              <w:t>Scripts `db/init`, semillas, CRUD SQL y orquestación.</w:t>
            </w:r>
          </w:p>
        </w:tc>
      </w:tr>
      <w:tr>
        <w:tc>
          <w:tcPr>
            <w:tcW w:type="dxa" w:w="2880"/>
          </w:tcPr>
          <w:p>
            <w:r>
              <w:t>Esquema y migraciones</w:t>
            </w:r>
          </w:p>
        </w:tc>
        <w:tc>
          <w:tcPr>
            <w:tcW w:type="dxa" w:w="2880"/>
          </w:tcPr>
          <w:p>
            <w:r>
              <w:t>`db/init/*.sql`</w:t>
            </w:r>
          </w:p>
        </w:tc>
        <w:tc>
          <w:tcPr>
            <w:tcW w:type="dxa" w:w="2880"/>
          </w:tcPr>
          <w:p>
            <w:r>
              <w:t>Definición de tablas, triggers de auditoría, sesiones, franjas y extensiones.</w:t>
            </w:r>
          </w:p>
        </w:tc>
      </w:tr>
      <w:tr>
        <w:tc>
          <w:tcPr>
            <w:tcW w:type="dxa" w:w="2880"/>
          </w:tcPr>
          <w:p>
            <w:r>
              <w:t>Funciones CRUD en BD</w:t>
            </w:r>
          </w:p>
        </w:tc>
        <w:tc>
          <w:tcPr>
            <w:tcW w:type="dxa" w:w="2880"/>
          </w:tcPr>
          <w:p>
            <w:r>
              <w:t>`db/database-crud/`</w:t>
            </w:r>
          </w:p>
        </w:tc>
        <w:tc>
          <w:tcPr>
            <w:tcW w:type="dxa" w:w="2880"/>
          </w:tcPr>
          <w:p>
            <w:r>
              <w:t>Funciones SQL por entidad (credenciales, usuarios, proveedores, citas, historial, roles).</w:t>
            </w:r>
          </w:p>
        </w:tc>
      </w:tr>
    </w:tbl>
    <w:p/>
    <w:p>
      <w:pPr>
        <w:pStyle w:val="Heading2"/>
      </w:pPr>
      <w:r>
        <w:t>2.3 Requerimientos, trazabilidad y cumplimiento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Documento</w:t>
            </w:r>
          </w:p>
        </w:tc>
        <w:tc>
          <w:tcPr>
            <w:tcW w:type="dxa" w:w="2880"/>
          </w:tcPr>
          <w:p>
            <w:r>
              <w:t>Ubicación</w:t>
            </w:r>
          </w:p>
        </w:tc>
        <w:tc>
          <w:tcPr>
            <w:tcW w:type="dxa" w:w="2880"/>
          </w:tcPr>
          <w:p>
            <w:r>
              <w:t>Contenido</w:t>
            </w:r>
          </w:p>
        </w:tc>
      </w:tr>
      <w:tr>
        <w:tc>
          <w:tcPr>
            <w:tcW w:type="dxa" w:w="2880"/>
          </w:tcPr>
          <w:p>
            <w:r>
              <w:t>Requerimientos (Excel)</w:t>
            </w:r>
          </w:p>
        </w:tc>
        <w:tc>
          <w:tcPr>
            <w:tcW w:type="dxa" w:w="2880"/>
          </w:tcPr>
          <w:p>
            <w:r>
              <w:t>[req_trabajo.xlsx](req_trabajo.xlsx)</w:t>
            </w:r>
          </w:p>
        </w:tc>
        <w:tc>
          <w:tcPr>
            <w:tcW w:type="dxa" w:w="2880"/>
          </w:tcPr>
          <w:p>
            <w:r>
              <w:t>Inventario de requisitos por capa y nivel de cumplimiento.</w:t>
            </w:r>
          </w:p>
        </w:tc>
      </w:tr>
      <w:tr>
        <w:tc>
          <w:tcPr>
            <w:tcW w:type="dxa" w:w="2880"/>
          </w:tcPr>
          <w:p>
            <w:r>
              <w:t>Matriz de trazabilidad</w:t>
            </w:r>
          </w:p>
        </w:tc>
        <w:tc>
          <w:tcPr>
            <w:tcW w:type="dxa" w:w="2880"/>
          </w:tcPr>
          <w:p>
            <w:r>
              <w:t>[MATRIZ_TRAZABILIDAD_FERRAGRO.xlsx](MATRIZ_TRAZABILIDAD_FERRAGRO.xlsx)</w:t>
            </w:r>
          </w:p>
        </w:tc>
        <w:tc>
          <w:tcPr>
            <w:tcW w:type="dxa" w:w="2880"/>
          </w:tcPr>
          <w:p>
            <w:r>
              <w:t>Trazabilidad de requisitos con estado, responsable y entregable.</w:t>
            </w:r>
          </w:p>
        </w:tc>
      </w:tr>
      <w:tr>
        <w:tc>
          <w:tcPr>
            <w:tcW w:type="dxa" w:w="2880"/>
          </w:tcPr>
          <w:p>
            <w:r>
              <w:t>Evidencia de implementación</w:t>
            </w:r>
          </w:p>
        </w:tc>
        <w:tc>
          <w:tcPr>
            <w:tcW w:type="dxa" w:w="2880"/>
          </w:tcPr>
          <w:p>
            <w:r>
              <w:t>[CUMPLIMIENTO_REQ.md](CUMPLIMIENTO_REQ.md)</w:t>
            </w:r>
          </w:p>
        </w:tc>
        <w:tc>
          <w:tcPr>
            <w:tcW w:type="dxa" w:w="2880"/>
          </w:tcPr>
          <w:p>
            <w:r>
              <w:t>Referencia de dónde quedó implementado cada requisito en código y operación.</w:t>
            </w:r>
          </w:p>
        </w:tc>
      </w:tr>
    </w:tbl>
    <w:p/>
    <w:p>
      <w:pPr>
        <w:pStyle w:val="Heading2"/>
      </w:pPr>
      <w:r>
        <w:t>2.4 Diccionarios y análisis de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Documento</w:t>
            </w:r>
          </w:p>
        </w:tc>
        <w:tc>
          <w:tcPr>
            <w:tcW w:type="dxa" w:w="2880"/>
          </w:tcPr>
          <w:p>
            <w:r>
              <w:t>Ubicación</w:t>
            </w:r>
          </w:p>
        </w:tc>
        <w:tc>
          <w:tcPr>
            <w:tcW w:type="dxa" w:w="2880"/>
          </w:tcPr>
          <w:p>
            <w:r>
              <w:t>Contenido</w:t>
            </w:r>
          </w:p>
        </w:tc>
      </w:tr>
      <w:tr>
        <w:tc>
          <w:tcPr>
            <w:tcW w:type="dxa" w:w="2880"/>
          </w:tcPr>
          <w:p>
            <w:r>
              <w:t>Diccionario de datos</w:t>
            </w:r>
          </w:p>
        </w:tc>
        <w:tc>
          <w:tcPr>
            <w:tcW w:type="dxa" w:w="2880"/>
          </w:tcPr>
          <w:p>
            <w:r>
              <w:t>[DICCIONARIO_DATOS_FERRAGRO.docx](DICCIONARIO_DATOS_FERRAGRO.docx)</w:t>
            </w:r>
          </w:p>
        </w:tc>
        <w:tc>
          <w:tcPr>
            <w:tcW w:type="dxa" w:w="2880"/>
          </w:tcPr>
          <w:p>
            <w:r>
              <w:t>Tablas, campos, relaciones y reglas de negocio en PostgreSQL.</w:t>
            </w:r>
          </w:p>
        </w:tc>
      </w:tr>
      <w:tr>
        <w:tc>
          <w:tcPr>
            <w:tcW w:type="dxa" w:w="2880"/>
          </w:tcPr>
          <w:p>
            <w:r>
              <w:t>Diccionario de transacciones</w:t>
            </w:r>
          </w:p>
        </w:tc>
        <w:tc>
          <w:tcPr>
            <w:tcW w:type="dxa" w:w="2880"/>
          </w:tcPr>
          <w:p>
            <w:r>
              <w:t>[DICCIONARIO_TRANSACCIONES_FERRAGRO.xlsx](DICCIONARIO_TRANSACCIONES_FERRAGRO.xlsx)</w:t>
            </w:r>
          </w:p>
        </w:tc>
        <w:tc>
          <w:tcPr>
            <w:tcW w:type="dxa" w:w="2880"/>
          </w:tcPr>
          <w:p>
            <w:r>
              <w:t>Funciones SQL, endpoints y servicios con tablas afectadas.</w:t>
            </w:r>
          </w:p>
        </w:tc>
      </w:tr>
      <w:tr>
        <w:tc>
          <w:tcPr>
            <w:tcW w:type="dxa" w:w="2880"/>
          </w:tcPr>
          <w:p>
            <w:r>
              <w:t>Informe de análisis</w:t>
            </w:r>
          </w:p>
        </w:tc>
        <w:tc>
          <w:tcPr>
            <w:tcW w:type="dxa" w:w="2880"/>
          </w:tcPr>
          <w:p>
            <w:r>
              <w:t>[INFORME DE ANALISIS.docx](INFORME%20DE%20ANALISIS.docx)</w:t>
            </w:r>
          </w:p>
        </w:tc>
        <w:tc>
          <w:tcPr>
            <w:tcW w:type="dxa" w:w="2880"/>
          </w:tcPr>
          <w:p>
            <w:r>
              <w:t>Análisis del sistema según documentación de proyecto.</w:t>
            </w:r>
          </w:p>
        </w:tc>
      </w:tr>
    </w:tbl>
    <w:p/>
    <w:p>
      <w:pPr>
        <w:pStyle w:val="Heading2"/>
      </w:pPr>
      <w:r>
        <w:t>2.5 Operación, continuidad y seguridad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Documento</w:t>
            </w:r>
          </w:p>
        </w:tc>
        <w:tc>
          <w:tcPr>
            <w:tcW w:type="dxa" w:w="2880"/>
          </w:tcPr>
          <w:p>
            <w:r>
              <w:t>Ubicación</w:t>
            </w:r>
          </w:p>
        </w:tc>
        <w:tc>
          <w:tcPr>
            <w:tcW w:type="dxa" w:w="2880"/>
          </w:tcPr>
          <w:p>
            <w:r>
              <w:t>Contenido</w:t>
            </w:r>
          </w:p>
        </w:tc>
      </w:tr>
      <w:tr>
        <w:tc>
          <w:tcPr>
            <w:tcW w:type="dxa" w:w="2880"/>
          </w:tcPr>
          <w:p>
            <w:r>
              <w:t>Operación y continuidad</w:t>
            </w:r>
          </w:p>
        </w:tc>
        <w:tc>
          <w:tcPr>
            <w:tcW w:type="dxa" w:w="2880"/>
          </w:tcPr>
          <w:p>
            <w:r>
              <w:t>[operacion_continuidad.md](operacion_continuidad.md)</w:t>
            </w:r>
          </w:p>
        </w:tc>
        <w:tc>
          <w:tcPr>
            <w:tcW w:type="dxa" w:w="2880"/>
          </w:tcPr>
          <w:p>
            <w:r>
              <w:t>RPO/RTO orientativos, backups, monitoreo, roles de BD y mantenimiento.</w:t>
            </w:r>
          </w:p>
        </w:tc>
      </w:tr>
    </w:tbl>
    <w:p/>
    <w:p>
      <w:pPr>
        <w:pStyle w:val="Heading2"/>
      </w:pPr>
      <w:r>
        <w:t>2.6 Pruebas y calidad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Documento</w:t>
            </w:r>
          </w:p>
        </w:tc>
        <w:tc>
          <w:tcPr>
            <w:tcW w:type="dxa" w:w="2880"/>
          </w:tcPr>
          <w:p>
            <w:r>
              <w:t>Ubicación</w:t>
            </w:r>
          </w:p>
        </w:tc>
        <w:tc>
          <w:tcPr>
            <w:tcW w:type="dxa" w:w="2880"/>
          </w:tcPr>
          <w:p>
            <w:r>
              <w:t>Contenido</w:t>
            </w:r>
          </w:p>
        </w:tc>
      </w:tr>
      <w:tr>
        <w:tc>
          <w:tcPr>
            <w:tcW w:type="dxa" w:w="2880"/>
          </w:tcPr>
          <w:p>
            <w:r>
              <w:t>Plan de pruebas (Markdown)</w:t>
            </w:r>
          </w:p>
        </w:tc>
        <w:tc>
          <w:tcPr>
            <w:tcW w:type="dxa" w:w="2880"/>
          </w:tcPr>
          <w:p>
            <w:r>
              <w:t>[PRUEBAS.md](../PRUEBAS.md)</w:t>
            </w:r>
          </w:p>
        </w:tc>
        <w:tc>
          <w:tcPr>
            <w:tcW w:type="dxa" w:w="2880"/>
          </w:tcPr>
          <w:p>
            <w:r>
              <w:t>Casos de caja negra, gris y blanca adaptados a Ferragro.</w:t>
            </w:r>
          </w:p>
        </w:tc>
      </w:tr>
      <w:tr>
        <w:tc>
          <w:tcPr>
            <w:tcW w:type="dxa" w:w="2880"/>
          </w:tcPr>
          <w:p>
            <w:r>
              <w:t>Pruebas (Word)</w:t>
            </w:r>
          </w:p>
        </w:tc>
        <w:tc>
          <w:tcPr>
            <w:tcW w:type="dxa" w:w="2880"/>
          </w:tcPr>
          <w:p>
            <w:r>
              <w:t>[PRUEBAS.docx](PRUEBAS.docx)</w:t>
            </w:r>
          </w:p>
        </w:tc>
        <w:tc>
          <w:tcPr>
            <w:tcW w:type="dxa" w:w="2880"/>
          </w:tcPr>
          <w:p>
            <w:r>
              <w:t>Versión en formato documento para entrega.</w:t>
            </w:r>
          </w:p>
        </w:tc>
      </w:tr>
      <w:tr>
        <w:tc>
          <w:tcPr>
            <w:tcW w:type="dxa" w:w="2880"/>
          </w:tcPr>
          <w:p>
            <w:r>
              <w:t>Pruebas (referencia extendida)</w:t>
            </w:r>
          </w:p>
        </w:tc>
        <w:tc>
          <w:tcPr>
            <w:tcW w:type="dxa" w:w="2880"/>
          </w:tcPr>
          <w:p>
            <w:r>
              <w:t>[pruebas-caja-negra-blanca-gris.md](pruebas-caja-negra-blanca-gris.md)</w:t>
            </w:r>
          </w:p>
        </w:tc>
        <w:tc>
          <w:tcPr>
            <w:tcW w:type="dxa" w:w="2880"/>
          </w:tcPr>
          <w:p>
            <w:r>
              <w:t>Plantilla y casos adicionales en Markdown.</w:t>
            </w:r>
          </w:p>
        </w:tc>
      </w:tr>
    </w:tbl>
    <w:p/>
    <w:p>
      <w:pPr>
        <w:pStyle w:val="Heading2"/>
      </w:pPr>
      <w:r>
        <w:t>2.7 Código fuente de referencia rápida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Área</w:t>
            </w:r>
          </w:p>
        </w:tc>
        <w:tc>
          <w:tcPr>
            <w:tcW w:type="dxa" w:w="2880"/>
          </w:tcPr>
          <w:p>
            <w:r>
              <w:t>Ubicación</w:t>
            </w:r>
          </w:p>
        </w:tc>
        <w:tc>
          <w:tcPr>
            <w:tcW w:type="dxa" w:w="2880"/>
          </w:tcPr>
          <w:p>
            <w:r>
              <w:t>Contenido</w:t>
            </w:r>
          </w:p>
        </w:tc>
      </w:tr>
      <w:tr>
        <w:tc>
          <w:tcPr>
            <w:tcW w:type="dxa" w:w="2880"/>
          </w:tcPr>
          <w:p>
            <w:r>
              <w:t>API y reglas de negocio</w:t>
            </w:r>
          </w:p>
        </w:tc>
        <w:tc>
          <w:tcPr>
            <w:tcW w:type="dxa" w:w="2880"/>
          </w:tcPr>
          <w:p>
            <w:r>
              <w:t>`backend/app/api/`, `backend/app/services/`</w:t>
            </w:r>
          </w:p>
        </w:tc>
        <w:tc>
          <w:tcPr>
            <w:tcW w:type="dxa" w:w="2880"/>
          </w:tcPr>
          <w:p>
            <w:r>
              <w:t>Autenticación, citas, CRUD, notificaciones, recordatorios.</w:t>
            </w:r>
          </w:p>
        </w:tc>
      </w:tr>
      <w:tr>
        <w:tc>
          <w:tcPr>
            <w:tcW w:type="dxa" w:w="2880"/>
          </w:tcPr>
          <w:p>
            <w:r>
              <w:t>Modelos ORM</w:t>
            </w:r>
          </w:p>
        </w:tc>
        <w:tc>
          <w:tcPr>
            <w:tcW w:type="dxa" w:w="2880"/>
          </w:tcPr>
          <w:p>
            <w:r>
              <w:t>`backend/app/models/`</w:t>
            </w:r>
          </w:p>
        </w:tc>
        <w:tc>
          <w:tcPr>
            <w:tcW w:type="dxa" w:w="2880"/>
          </w:tcPr>
          <w:p>
            <w:r>
              <w:t>Mapeo de tablas PostgreSQL.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`frontend/src/`</w:t>
            </w:r>
          </w:p>
        </w:tc>
        <w:tc>
          <w:tcPr>
            <w:tcW w:type="dxa" w:w="2880"/>
          </w:tcPr>
          <w:p>
            <w:r>
              <w:t>Páginas, panel por rol, manual guiado (`guidedTour/`), cliente API.</w:t>
            </w:r>
          </w:p>
        </w:tc>
      </w:tr>
      <w:tr>
        <w:tc>
          <w:tcPr>
            <w:tcW w:type="dxa" w:w="2880"/>
          </w:tcPr>
          <w:p>
            <w:r>
              <w:t>Manual guiado (definición)</w:t>
            </w:r>
          </w:p>
        </w:tc>
        <w:tc>
          <w:tcPr>
            <w:tcW w:type="dxa" w:w="2880"/>
          </w:tcPr>
          <w:p>
            <w:r>
              <w:t>`frontend/src/guidedTour/`</w:t>
            </w:r>
          </w:p>
        </w:tc>
        <w:tc>
          <w:tcPr>
            <w:tcW w:type="dxa" w:w="2880"/>
          </w:tcPr>
          <w:p>
            <w:r>
              <w:t>Pasos del recorrido público y por rol en el panel.</w:t>
            </w:r>
          </w:p>
        </w:tc>
      </w:tr>
    </w:tbl>
    <w:p/>
    <w:p>
      <w:pPr>
        <w:pStyle w:val="Heading2"/>
      </w:pPr>
      <w:r>
        <w:t>2.8 Orden sugerido de lectura técnica</w:t>
      </w:r>
    </w:p>
    <w:p>
      <w:pPr>
        <w:pStyle w:val="ListNumber"/>
      </w:pPr>
      <w:r>
        <w:t>[README.md](../README.md) para contexto y despliegue.</w:t>
      </w:r>
    </w:p>
    <w:p>
      <w:pPr>
        <w:pStyle w:val="ListNumber"/>
      </w:pPr>
      <w:r>
        <w:t>[DICCIONARIO_DATOS_FERRAGRO.docx](DICCIONARIO_DATOS_FERRAGRO.docx) y [DICCIONARIO_TRANSACCIONES_FERRAGRO.xlsx](DICCIONARIO_TRANSACCIONES_FERRAGRO.xlsx) para persistencia y operaciones.</w:t>
      </w:r>
    </w:p>
    <w:p>
      <w:pPr>
        <w:pStyle w:val="ListNumber"/>
      </w:pPr>
      <w:r>
        <w:t>[CUMPLIMIENTO_REQ.md](CUMPLIMIENTO_REQ.md) y [MATRIZ_TRAZABILIDAD_FERRAGRO.xlsx](MATRIZ_TRAZABILIDAD_FERRAGRO.xlsx) para trazabilidad.</w:t>
      </w:r>
    </w:p>
    <w:p>
      <w:pPr>
        <w:pStyle w:val="ListNumber"/>
      </w:pPr>
      <w:r>
        <w:t>[operacion_continuidad.md](operacion_continuidad.md) antes de producción.</w:t>
      </w:r>
    </w:p>
    <w:p>
      <w:pPr>
        <w:pStyle w:val="ListNumber"/>
      </w:pPr>
      <w:r>
        <w:t>[PRUEBAS.md](../PRUEBAS.md) para validación funcional y de regresión.</w:t>
      </w:r>
    </w:p>
    <w:p/>
    <w:p>
      <w:pPr>
        <w:pStyle w:val="Heading1"/>
      </w:pPr>
      <w:r>
        <w:t>Nota final</w:t>
      </w:r>
    </w:p>
    <w:p>
      <w:pPr>
        <w:pStyle w:val="ListBullet"/>
      </w:pPr>
      <w:r>
        <w:t>**Usuario final**: Parte 1 + manual guiado en la aplicación.</w:t>
      </w:r>
    </w:p>
    <w:p>
      <w:pPr>
        <w:pStyle w:val="ListBullet"/>
      </w:pPr>
      <w:r>
        <w:t>**Desarrollo, operación o entrega académica**: Parte 2 y los archivos enlazados; no hace falta un segundo manual técnico duplicado si se mantiene actualizado este índice.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