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Operación, continuidad y seguridad (referencia)</w:t>
      </w:r>
    </w:p>
    <w:p>
      <w:r>
        <w:t xml:space="preserve">Este documento cumple la parte </w:t>
      </w:r>
      <w:r>
        <w:rPr>
          <w:b/>
        </w:rPr>
        <w:t>documental / operativa</w:t>
      </w:r>
      <w:r>
        <w:t xml:space="preserve"> de requisitos no funcionales que dependen del entorno de despliegue (backups cifrados, RPO/RTO, HA, monitoreo de BD).</w:t>
      </w:r>
    </w:p>
    <w:p>
      <w:pPr>
        <w:pStyle w:val="Heading1"/>
      </w:pPr>
      <w:r>
        <w:t>Objetivos acordados (ajustar por proyecto)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Objetivo sugerido</w:t>
            </w:r>
          </w:p>
        </w:tc>
        <w:tc>
          <w:tcPr>
            <w:tcW w:type="dxa" w:w="2880"/>
          </w:tcPr>
          <w:p>
            <w:r>
              <w:t>Verificación</w:t>
            </w:r>
          </w:p>
        </w:tc>
      </w:tr>
      <w:tr>
        <w:tc>
          <w:tcPr>
            <w:tcW w:type="dxa" w:w="2880"/>
          </w:tcPr>
          <w:p>
            <w:r>
              <w:t>**RPO** (pérdida máxima de datos aceptable)</w:t>
            </w:r>
          </w:p>
        </w:tc>
        <w:tc>
          <w:tcPr>
            <w:tcW w:type="dxa" w:w="2880"/>
          </w:tcPr>
          <w:p>
            <w:r>
              <w:t>≤ 24 h</w:t>
            </w:r>
          </w:p>
        </w:tc>
        <w:tc>
          <w:tcPr>
            <w:tcW w:type="dxa" w:w="2880"/>
          </w:tcPr>
          <w:p>
            <w:r>
              <w:t>Último backup restaurable</w:t>
            </w:r>
          </w:p>
        </w:tc>
      </w:tr>
      <w:tr>
        <w:tc>
          <w:tcPr>
            <w:tcW w:type="dxa" w:w="2880"/>
          </w:tcPr>
          <w:p>
            <w:r>
              <w:t>**RTO** (tiempo máximo para volver a operar)</w:t>
            </w:r>
          </w:p>
        </w:tc>
        <w:tc>
          <w:tcPr>
            <w:tcW w:type="dxa" w:w="2880"/>
          </w:tcPr>
          <w:p>
            <w:r>
              <w:t>≤ 4 h</w:t>
            </w:r>
          </w:p>
        </w:tc>
        <w:tc>
          <w:tcPr>
            <w:tcW w:type="dxa" w:w="2880"/>
          </w:tcPr>
          <w:p>
            <w:r>
              <w:t>Ejercicio anual de restauración</w:t>
            </w:r>
          </w:p>
        </w:tc>
      </w:tr>
      <w:tr>
        <w:tc>
          <w:tcPr>
            <w:tcW w:type="dxa" w:w="2880"/>
          </w:tcPr>
          <w:p>
            <w:r>
              <w:t>**Disponibilidad**</w:t>
            </w:r>
          </w:p>
        </w:tc>
        <w:tc>
          <w:tcPr>
            <w:tcW w:type="dxa" w:w="2880"/>
          </w:tcPr>
          <w:p>
            <w:r>
              <w:t>≥ 99 % mensual</w:t>
            </w:r>
          </w:p>
        </w:tc>
        <w:tc>
          <w:tcPr>
            <w:tcW w:type="dxa" w:w="2880"/>
          </w:tcPr>
          <w:p>
            <w:r>
              <w:t>SLI/uptime monitor</w:t>
            </w:r>
          </w:p>
        </w:tc>
      </w:tr>
    </w:tbl>
    <w:p/>
    <w:p>
      <w:pPr>
        <w:pStyle w:val="Heading1"/>
      </w:pPr>
      <w:r>
        <w:t>Backups PostgreSQL</w:t>
      </w:r>
    </w:p>
    <w:p>
      <w:pPr>
        <w:pStyle w:val="ListNumber"/>
      </w:pPr>
      <w:r>
        <w:rPr>
          <w:b/>
        </w:rPr>
        <w:t>Copia lógica diaria</w:t>
      </w:r>
      <w:r>
        <w:t xml:space="preserve"> con </w:t>
      </w:r>
      <w:r>
        <w:rPr>
          <w:rFonts w:ascii="Consolas" w:hAnsi="Consolas"/>
        </w:rPr>
        <w:t>pg_dump</w:t>
      </w:r>
      <w:r>
        <w:t xml:space="preserve"> / </w:t>
      </w:r>
      <w:r>
        <w:rPr>
          <w:rFonts w:ascii="Consolas" w:hAnsi="Consolas"/>
        </w:rPr>
        <w:t>pg_dumpall</w:t>
      </w:r>
      <w:r>
        <w:t xml:space="preserve"> hacia almacenamiento separado del servidor de BD.</w:t>
      </w:r>
    </w:p>
    <w:p>
      <w:pPr>
        <w:pStyle w:val="ListNumber"/>
      </w:pPr>
      <w:r>
        <w:rPr>
          <w:b/>
        </w:rPr>
        <w:t>Cifrado en reposo</w:t>
      </w:r>
      <w:r>
        <w:t xml:space="preserve">: usar disco/S3 con SSE-KMS o empaquetar el </w:t>
      </w:r>
      <w:r>
        <w:rPr>
          <w:rFonts w:ascii="Consolas" w:hAnsi="Consolas"/>
        </w:rPr>
        <w:t>.dump</w:t>
      </w:r>
      <w:r>
        <w:t xml:space="preserve"> con herramientas que soporten AES (p. ej. </w:t>
      </w:r>
      <w:r>
        <w:rPr>
          <w:rFonts w:ascii="Consolas" w:hAnsi="Consolas"/>
        </w:rPr>
        <w:t>age</w:t>
      </w:r>
      <w:r>
        <w:t xml:space="preserve">, </w:t>
      </w:r>
      <w:r>
        <w:rPr>
          <w:rFonts w:ascii="Consolas" w:hAnsi="Consolas"/>
        </w:rPr>
        <w:t>gpg</w:t>
      </w:r>
      <w:r>
        <w:t>) antes de subirlo.</w:t>
      </w:r>
    </w:p>
    <w:p>
      <w:pPr>
        <w:pStyle w:val="ListNumber"/>
      </w:pPr>
      <w:r>
        <w:rPr>
          <w:b/>
        </w:rPr>
        <w:t>Retención</w:t>
      </w:r>
      <w:r>
        <w:t>: conservar al menos 7 copias diarias + 4 semanales (ajustar compliance interno).</w:t>
      </w:r>
    </w:p>
    <w:p>
      <w:pPr>
        <w:pStyle w:val="ListNumber"/>
      </w:pPr>
      <w:r>
        <w:rPr>
          <w:b/>
        </w:rPr>
        <w:t>Prueba de restauración</w:t>
      </w:r>
      <w:r>
        <w:t>: trimestral en entorno de staging.</w:t>
      </w:r>
    </w:p>
    <w:p>
      <w:pPr>
        <w:pStyle w:val="Heading2"/>
      </w:pPr>
      <w:r>
        <w:t>Ejemplo (referencia, no ejecutar en producción sin revisar rutas)</w:t>
      </w:r>
    </w:p>
    <w:p>
      <w:r>
        <w:rPr>
          <w:rFonts w:ascii="Consolas" w:hAnsi="Consolas"/>
          <w:sz w:val="20"/>
        </w:rPr>
        <w:t>pg_dump -Fc "$DATABASE_URL" &gt; backup.dump</w:t>
        <w:br/>
        <w:t>age -r "$AGE_PUBLIC_KEY" -o backup.dump.age backup.dump</w:t>
      </w:r>
    </w:p>
    <w:p/>
    <w:p>
      <w:pPr>
        <w:pStyle w:val="Heading1"/>
      </w:pPr>
      <w:r>
        <w:t>Monitoreo</w:t>
      </w:r>
    </w:p>
    <w:p>
      <w:pPr>
        <w:pStyle w:val="ListBullet"/>
      </w:pPr>
      <w:r>
        <w:rPr>
          <w:b/>
        </w:rPr>
        <w:t>Aplicación</w:t>
      </w:r>
      <w:r>
        <w:t xml:space="preserve">: endpoint </w:t>
      </w:r>
      <w:r>
        <w:rPr>
          <w:rFonts w:ascii="Consolas" w:hAnsi="Consolas"/>
        </w:rPr>
        <w:t>/health</w:t>
      </w:r>
      <w:r>
        <w:t xml:space="preserve"> detrás del balanceador; alertas si código ≠ 200.</w:t>
      </w:r>
    </w:p>
    <w:p>
      <w:pPr>
        <w:pStyle w:val="ListBullet"/>
      </w:pPr>
      <w:r>
        <w:rPr>
          <w:b/>
        </w:rPr>
        <w:t>PostgreSQL</w:t>
      </w:r>
      <w:r>
        <w:t xml:space="preserve">: integrar </w:t>
      </w:r>
      <w:r>
        <w:rPr>
          <w:rFonts w:ascii="Consolas" w:hAnsi="Consolas"/>
        </w:rPr>
        <w:t>pg_stat_statements</w:t>
      </w:r>
      <w:r>
        <w:t xml:space="preserve"> y alertas de conexiones/lento en la plataforma elegida (Datadog, Prometheus postgres_exporter, etc.).</w:t>
      </w:r>
    </w:p>
    <w:p>
      <w:pPr>
        <w:pStyle w:val="ListBullet"/>
      </w:pPr>
      <w:r>
        <w:rPr>
          <w:b/>
        </w:rPr>
        <w:t>Logs</w:t>
      </w:r>
      <w:r>
        <w:t xml:space="preserve">: cabecera </w:t>
      </w:r>
      <w:r>
        <w:rPr>
          <w:rFonts w:ascii="Consolas" w:hAnsi="Consolas"/>
        </w:rPr>
        <w:t>X-Correlation-ID</w:t>
      </w:r>
      <w:r>
        <w:t xml:space="preserve"> propagada por el middleware HTTP para trazar peticiones.</w:t>
      </w:r>
    </w:p>
    <w:p>
      <w:pPr>
        <w:pStyle w:val="Heading1"/>
      </w:pPr>
      <w:r>
        <w:t>Roles de base de datos (mínimo privilegio)</w:t>
      </w:r>
    </w:p>
    <w:p>
      <w:r>
        <w:t xml:space="preserve">Ejecutar en PostgreSQL cuentas separadas: </w:t>
      </w:r>
      <w:r>
        <w:rPr>
          <w:rFonts w:ascii="Consolas" w:hAnsi="Consolas"/>
        </w:rPr>
        <w:t>app_readwrite</w:t>
      </w:r>
      <w:r>
        <w:t xml:space="preserve">, </w:t>
      </w:r>
      <w:r>
        <w:rPr>
          <w:rFonts w:ascii="Consolas" w:hAnsi="Consolas"/>
        </w:rPr>
        <w:t>app_readonly</w:t>
      </w:r>
      <w:r>
        <w:t xml:space="preserve">, </w:t>
      </w:r>
      <w:r>
        <w:rPr>
          <w:rFonts w:ascii="Consolas" w:hAnsi="Consolas"/>
        </w:rPr>
        <w:t>migration_admin</w:t>
      </w:r>
      <w:r>
        <w:t xml:space="preserve">. Los grants exactos dependen del esquema; usar </w:t>
      </w:r>
      <w:r>
        <w:rPr>
          <w:rFonts w:ascii="Consolas" w:hAnsi="Consolas"/>
        </w:rPr>
        <w:t>db/init</w:t>
      </w:r>
      <w:r>
        <w:t xml:space="preserve"> como fuente de verdad y documentar grants en un script revisado por DBA.</w:t>
      </w:r>
    </w:p>
    <w:p>
      <w:pPr>
        <w:pStyle w:val="Heading1"/>
      </w:pPr>
      <w:r>
        <w:t>Mantenimiento PostgreSQL</w:t>
      </w:r>
    </w:p>
    <w:p>
      <w:r>
        <w:t xml:space="preserve">Programar </w:t>
      </w:r>
      <w:r>
        <w:rPr>
          <w:b/>
        </w:rPr>
        <w:t>VACUUM / ANALYZE</w:t>
      </w:r>
      <w:r>
        <w:t xml:space="preserve"> vía </w:t>
      </w:r>
      <w:r>
        <w:rPr>
          <w:rFonts w:ascii="Consolas" w:hAnsi="Consolas"/>
        </w:rPr>
        <w:t>autovacuum</w:t>
      </w:r>
      <w:r>
        <w:t xml:space="preserve"> (por defecto activo) y revisar tablas de alto crecimiento (</w:t>
      </w:r>
      <w:r>
        <w:rPr>
          <w:rFonts w:ascii="Consolas" w:hAnsi="Consolas"/>
        </w:rPr>
        <w:t>Citas</w:t>
      </w:r>
      <w:r>
        <w:t xml:space="preserve">, </w:t>
      </w:r>
      <w:r>
        <w:rPr>
          <w:rFonts w:ascii="Consolas" w:hAnsi="Consolas"/>
        </w:rPr>
        <w:t>HistorialCambios</w:t>
      </w:r>
      <w:r>
        <w:t xml:space="preserve">, </w:t>
      </w:r>
      <w:r>
        <w:rPr>
          <w:rFonts w:ascii="Consolas" w:hAnsi="Consolas"/>
        </w:rPr>
        <w:t>AuditoriaLogin</w:t>
      </w:r>
      <w:r>
        <w:t xml:space="preserve">, </w:t>
      </w:r>
      <w:r>
        <w:rPr>
          <w:rFonts w:ascii="Consolas" w:hAnsi="Consolas"/>
        </w:rPr>
        <w:t>SesionesRefresh</w:t>
      </w:r>
      <w:r>
        <w:t>).</w:t>
      </w:r>
    </w:p>
    <w:p>
      <w:pPr>
        <w:pStyle w:val="Heading1"/>
      </w:pPr>
      <w:r>
        <w:t>Archivo histórico / particionamiento</w:t>
      </w:r>
    </w:p>
    <w:p>
      <w:r>
        <w:t>Para tablas muy grandes, valorar particionamiento por rango de fechas y políticas de archivo en tablas históricas; implementación específica debe validarse con volumetría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