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Ferragro — Pruebas de caja negra, gris y blanca</w:t>
      </w:r>
    </w:p>
    <w:p>
      <w:pPr>
        <w:spacing w:after="120"/>
      </w:pPr>
      <w:r>
        <w:t>Nota: La plantilla que compartiste corresponde a otro producto (Reservify). Este documento está adaptado al Portal de citas de entrega Ferragro (React + FastAPI + PostgreSQL).</w:t>
      </w:r>
    </w:p>
    <w:p>
      <w:pPr>
        <w:pStyle w:val="Heading1"/>
      </w:pPr>
      <w:r>
        <w:t>Cómo se aplican los tres enfoques aquí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Enfoque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Qué conoces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rPr>
                <w:b/>
              </w:rPr>
              <w:t>Ejemplos en este proyecto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Caja negra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Solo requisitos y comportamiento observable (UI o API sin mirar código).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Login con credenciales incorrectas; landing sin sesión; listado de citas tras autenticarse.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Caja gris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Contrato parcial: endpoints, JSON { success, data, message }, roles, .env de prueba; no revisas cada rama interna.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POST /api/v1/auth/login con cuerpo válido vs token JWT en GET /appointments; códigos HTTP esperados.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>
              <w:t>Caja blanca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Código y ramas: condiciones, middleware, límites, SQL.</w:t>
            </w:r>
          </w:p>
        </w:tc>
        <w:tc>
          <w:tcPr>
            <w:tcW w:type="dxa" w:w="2880"/>
          </w:tcPr>
          <w:p>
            <w:pPr>
              <w:spacing w:after="0"/>
            </w:pPr>
            <w:r>
              <w:t>Middleware de consultas sospechosas en main.py; rate_limit_enabled; filtros por rol en appointments.py; validación de NIT en registro.</w:t>
            </w:r>
          </w:p>
        </w:tc>
      </w:tr>
    </w:tbl>
    <w:p/>
    <w:p>
      <w:pPr>
        <w:spacing w:after="120"/>
      </w:pPr>
      <w:r>
        <w:t>Rellena Project Name, Release Version, Tester Name y Testing Date(s) en cada bloque según tu entrega.</w:t>
      </w:r>
    </w:p>
    <w:p>
      <w:pPr>
        <w:pStyle w:val="Heading1"/>
      </w:pPr>
      <w:r>
        <w:t>Encabezado común (copiar y completar)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Project 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Ferragro — Portal citas de entrega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Release Version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(ej. 1.0.0-rc1)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Tester 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(tu nombre)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Testing Date(s)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(ej. 12/05/2026)</w:t>
            </w:r>
          </w:p>
        </w:tc>
      </w:tr>
    </w:tbl>
    <w:p/>
    <w:p>
      <w:pPr>
        <w:spacing w:after="120"/>
      </w:pPr>
      <w:r>
        <w:t>Pre-condición general: Backend y base de datos en ejecución; frontend accesible (Vite o build). Datos de prueba coherentes con tu .env y seed (si aplica).</w:t>
      </w:r>
    </w:p>
    <w:p>
      <w:pPr>
        <w:spacing w:after="120"/>
      </w:pPr>
      <w:r>
        <w:t>Post-condición general: Sin datos de producción modificados si usas entorno aislado; cerrar sesión o revocar tokens de prueba si procede.</w:t>
      </w:r>
    </w:p>
    <w:p>
      <w:pPr>
        <w:spacing w:after="120"/>
      </w:pPr>
      <w:r>
        <w:t>Status (regla): en la fila Status de cada caso escribe una sola palabra: Pass si el resultado real cumple lo esperado, o Fail si no. No uses Pass/Fail, listas ni texto mixto en esa celda. Los casos incluyen Pass como valor inicial; cámbialo a Fail si la ejecución demuestra que no se cumple lo esperado.</w:t>
      </w:r>
    </w:p>
    <w:p>
      <w:pPr>
        <w:pStyle w:val="Title"/>
      </w:pPr>
      <w:r>
        <w:t>CAJA NEGRA</w:t>
      </w:r>
    </w:p>
    <w:p>
      <w:pPr>
        <w:spacing w:after="120"/>
      </w:pPr>
      <w:r>
        <w:rPr>
          <w:i/>
        </w:rPr>
        <w:t>El tester no usa el código fuente como referencia; solo la interfaz y/o el comportamiento acordado.</w:t>
      </w:r>
    </w:p>
    <w:p>
      <w:pPr>
        <w:pStyle w:val="Heading1"/>
      </w:pPr>
      <w:r>
        <w:t>Test case NB-1: Landing (página pública inicial)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NB-1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Media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Landing — navegación pública y enlaces de contacto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Validar que un usuario sin sesión ve la portada, puede ir a Iniciar sesión / Registrarme, y que los enlaces de contacto abren el destino correcto (WhatsApp / correo).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Abrir la URL raíz del frontend. 2) Comprobar título/hero (“Portal de proveedores…” o similar). 3) Pulsar Iniciar sesión y ver formulario de login. 4) Volver atrás si existe y pulsar Registrarme. 5) En landing, pulsar enlace WhatsApp y Correo en “Información de contacto”.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URL front: http://localhost:2711 (o la que uses). WhatsApp esperado: enlace https://wa.me/573142254819. Correo: mailto:ecommerce@ferragro.com.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Landing carga sin errores visibles; botones llevan a login/registro; enlaces externos/mailto son los indicados (no redirigen a búsqueda genérica).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 al ejecutar)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Sin cookie de sesión activa (navegador limpio o ventana privada).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Usuario sigue sin sesión o en pantalla login/registro según última acción.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Caja negra: no se inspecciona LandingPage.jsx; solo comportamiento observable.</w:t>
            </w:r>
          </w:p>
        </w:tc>
      </w:tr>
    </w:tbl>
    <w:p/>
    <w:p>
      <w:pPr>
        <w:pStyle w:val="Heading1"/>
      </w:pPr>
      <w:r>
        <w:t>Test case NB-2: Login — credenciales inválidas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NB-2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Login — rechazo con email o contraseña incorrectos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Verificar que el sistema no otorga acceso y muestra mensaje comprensible ante credenciales erróneas.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Ir a login. 2) Introducir email no registrado y contraseña cualquiera; enviar. 3) Introducir email válido de prueba y contraseña incorrecta; enviar.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Email inexistente: noexiste@test.local. Email válido de tu BD de prueba + contraseña errónea: MalPass#123.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No acceso al dashboard; mensaje de error coherente (no stack trace); no filtrar si el email existe o no de forma agresiva en UI.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API disponible; usuario de prueba opcional para el paso 3.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Sin token válido en cliente.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No mirar implementación de verify_password; solo resultado observable.</w:t>
            </w:r>
          </w:p>
        </w:tc>
      </w:tr>
    </w:tbl>
    <w:p/>
    <w:p>
      <w:pPr>
        <w:pStyle w:val="Heading1"/>
      </w:pPr>
      <w:r>
        <w:t>Test case NB-3: Dashboard — proveedor ve solo sus citas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NB-3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Listado de citas — aislamiento por proveedor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Con sesión de Proveedor, el listado no debe mostrar citas de otros NITs (validación funcional desde la UI).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Login como proveedor A. 2) Abrir listado/calendario de citas. 3) Anotar cantidad y NIT/nombre mostrados. 4) Cerrar sesión y repetir con proveedor B si existe en datos de prueba.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Cuentas proveedor A y B de tu entorno de prueba (emails/NIT según seed o datos creados manualmente).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Cada proveedor solo ve información asociada a su empresa; no aparecen citas “cruzadas”.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Citas de prueba creadas para al menos dos proveedores (o documentar “N/A” si solo hay uno).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Sesión del último usuario probado.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Caja negra: no se revisa la cláusula SQL en el backend.</w:t>
            </w:r>
          </w:p>
        </w:tc>
      </w:tr>
    </w:tbl>
    <w:p/>
    <w:p>
      <w:pPr>
        <w:pStyle w:val="Heading1"/>
      </w:pPr>
      <w:r>
        <w:t>Test case NB-4: Registro proveedor — validación de formulario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NB-4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Media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Registro — NIT y dígito de verificación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Intentar registrar con NIT incompleto o dígito inválido y comprobar mensajes en pantalla.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Ir a Registrarme. 2) NIT con 9 dígitos; enviar o avanzar. 3) NIT con 10 dígitos pero dígito de verificación con 2 dígitos. 4) Corregir según mensajes hasta formato aceptado (sin completar registro real si no deseas datos nuevos).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NIT corto: 90012345. DV inválido: 12. NIT válido de prueba no duplicado en BD: (definir según tu rango libre).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La interfaz impide o advierte formatos inválidos antes de crear cuenta; no “cuelgue” sin mensaje.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Modo registro proveedor disponible.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Opcional: eliminar usuario de prueba si se creó.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</w:p>
        </w:tc>
      </w:tr>
    </w:tbl>
    <w:p/>
    <w:p>
      <w:pPr>
        <w:pStyle w:val="Title"/>
      </w:pPr>
      <w:r>
        <w:t>CAJA GRIS</w:t>
      </w:r>
    </w:p>
    <w:p>
      <w:pPr>
        <w:spacing w:after="120"/>
      </w:pPr>
      <w:r>
        <w:rPr>
          <w:i/>
        </w:rPr>
        <w:t>Conoces contrato de API (rutas, JSON, roles) y/o configuración de entorno, pero no diseñas casos a partir de cada if del código.</w:t>
      </w:r>
    </w:p>
    <w:p>
      <w:pPr>
        <w:pStyle w:val="Heading1"/>
      </w:pPr>
      <w:r>
        <w:t>Test case CG-1: Contrato `POST /auth/login`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CG-1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Login API — estructura success / data.access_token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Llamar al login con JSON válido y comprobar cuerpo estándar del proyecto.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POST {BASE}/api/v1/auth/login con Content-Type: application/json. 2) Cuerpo {"email":"...","password":"..."}. 3) Parsear JSON y validar presencia de success, data.access_token, message.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BASE: http://127.0.0.1:8000. Credenciales válidas de prueba.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HTTP 200; success === true; data.access_token string no vacío; message descriptivo.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Misma versión de prefijo que el front (/api/v1 por defecto en cliente).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(n/a o revocar refresh si pruebas de seguridad)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No hace falta abrir auth.py; basta OpenAPI /docs o README.</w:t>
            </w:r>
          </w:p>
        </w:tc>
      </w:tr>
    </w:tbl>
    <w:p/>
    <w:p>
      <w:pPr>
        <w:pStyle w:val="Heading1"/>
      </w:pPr>
      <w:r>
        <w:t>Test case CG-2: `GET /appointments` sin token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CG-2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Citas — acceso no autenticado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Verificar que el endpoint protegido responde 401/403 sin Authorization.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GET {BASE}/api/v1/appointments?mode=list sin cabecera Bearer. 2) Opcional: con Bearer malformado Bearer xxx.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Sin cuerpo; query mínima mode=list.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No 200 con lista de citas; código de error apropiado y cuerpo success: false o esquema de error del proyecto.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API levantada.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Caja gris: sabes el contrato de seguridad, no la implementación del dependency require_roles.</w:t>
            </w:r>
          </w:p>
        </w:tc>
      </w:tr>
    </w:tbl>
    <w:p/>
    <w:p>
      <w:pPr>
        <w:pStyle w:val="Heading1"/>
      </w:pPr>
      <w:r>
        <w:t>Test case CG-3: Rate limit en rutas de 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CG-3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Media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Auth — muchos intentos de login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Sabes que existe límite por minuto en auth (rate_limit_per_minute_auth en configuración); validar 429 tras superar umbral sin leer código de SlowAPI.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Enviar más de N peticiones POST .../auth/login en menos de 1 minuto (N según .env, típ. 20). 2) Observar si aparece HTTP 429.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Mismo cuerpo de login inválido para no bloquear cuenta real por contraseñas erróneas alternadas; o usar herramienta de carga con email ficticio.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Tras el umbral, respuestas 429 o mensaje de rate limit; servidor estable.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RATE_LIMIT_ENABLED=true en entorno donde pruebas.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Esperar ventana de minuto o reiniciar proceso si necesitas limpiar estado en memoria.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Conoces el parámetro de negocio, no cada línea del limiter.</w:t>
            </w:r>
          </w:p>
        </w:tc>
      </w:tr>
    </w:tbl>
    <w:p/>
    <w:p>
      <w:pPr>
        <w:pStyle w:val="Heading1"/>
      </w:pPr>
      <w:r>
        <w:t>Test case CG-4: Refresh con cookie HttpOnly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CG-4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Media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Sesión — refresh según contrato front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Tras login desde navegador, comprobar que existe cookie de refresh y que POST .../auth/refresh puede devolver nuevo access token (desde DevTools o script con cookie jar).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Login válido en UI. 2) En aplicación de API (Postman/curl con -c/-b), repetir flujo login y refresh. 3) Verificar JSON de refresh.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Nombre cookie por defecto: refresh_token (según configuración).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Refresh coherente con documentación; access token renovado cuando refresh válido.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CORS y cookies acordes a tu origen (localhost).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Logout si aplica.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</w:p>
        </w:tc>
      </w:tr>
    </w:tbl>
    <w:p/>
    <w:p>
      <w:pPr>
        <w:pStyle w:val="Title"/>
      </w:pPr>
      <w:r>
        <w:t>CAJA BLANCA</w:t>
      </w:r>
    </w:p>
    <w:p>
      <w:pPr>
        <w:spacing w:after="120"/>
      </w:pPr>
      <w:r>
        <w:rPr>
          <w:i/>
        </w:rPr>
        <w:t>Casos derivados del código o esquema: ramas, middleware, regex, índices SQL.</w:t>
      </w:r>
    </w:p>
    <w:p>
      <w:pPr>
        <w:pStyle w:val="Heading1"/>
      </w:pPr>
      <w:r>
        <w:t>Test case CB-1: Middleware — parámetro de query con patrón sospechoso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CB-1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SUSPICIOUS_QUERY_PATTERNS — rechazo de patrones tipo SQLi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El middleware en app/main.py inspecciona query strings; debe bloquear valores que coincidan con patrones definidos (p. ej. UNION SELECT).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Revisar en código las regex SUSPICIOUS_QUERY_PATTERNS. 2) GET /health?test=union%20select o variante que dispare el patrón. 3) Confirmar respuesta de error del middleware (p. ej. 400) sin ejecutar SQL del atacante.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Valores acordes a cada regex del archivo (documentar cuál patrón se probó).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Petición rechazada; no propagación del valor a lógica de negocio; log/respuesta acorde a implementación.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Rama de código con middleware activo.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Caja blanca pura: requiere leer main.py.</w:t>
            </w:r>
          </w:p>
        </w:tc>
      </w:tr>
    </w:tbl>
    <w:p/>
    <w:p>
      <w:pPr>
        <w:pStyle w:val="Heading1"/>
      </w:pPr>
      <w:r>
        <w:t>Test case CB-2: `rate_limit_enabled` desactivado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CB-2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Baja (solo entornos de prueba)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SlowAPI — enabled=False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Con RATE_LIMIT_ENABLED=false, el Limiter no debe aplicar límites (comprobar ausencia de 429 por rate limit bajo burst controlado).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Arrancar API con variable de entorno. 2) Verificar en app/core/rate_limit.py que enabled=settings.rate_limit_enabled. 3) Ejecutar ráfaga de GET /health y contrastar con true.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RATE_LIMIT_ENABLED=false / true.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Con false, sin 429 por SlowAPI bajo la misma carga; con true, límites activos.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No usar en producción.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Restaurar true.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</w:p>
        </w:tc>
      </w:tr>
    </w:tbl>
    <w:p/>
    <w:p>
      <w:pPr>
        <w:pStyle w:val="Heading1"/>
      </w:pPr>
      <w:r>
        <w:t>Test case CB-3: Listado de citas — rama `principal.role_name == Proveedor`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CB-3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Alta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list_appointments — filtro provider_id forzado por sujeto JWT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En código (appointments.py), si el rol es Proveedor, el stmt incluye where(Appointment.provider_id == int(principal.subject)). Probar con token cuyo sub sea NIT conocido y verificar solo filas de ese NIT en respuesta.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Leer la rama en list_appointments. 2) Insertar o usar citas con dos provider_id distintos en BD. 3) JWT de proveedor A; inspeccionar JSON data.items.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NIT A y B; token decodificado (sin verificar firma en test manual) para confirmar sub.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Ningún item con provider_id distinto del NIT del token.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Datos en BD alineados con el escenario.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Combinación blanca + verificación objetiva en JSON.</w:t>
            </w:r>
          </w:p>
        </w:tc>
      </w:tr>
    </w:tbl>
    <w:p/>
    <w:p>
      <w:pPr>
        <w:pStyle w:val="Heading1"/>
      </w:pPr>
      <w:r>
        <w:t>Test case CB-4: Registro proveedor — validación NIT 10 dígitos en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Case #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CB-4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Priority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Media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Title/Name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register — ramas len(payload.document_id) != 10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Summary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En auth.py registro proveedor: documento debe ser 10 dígitos. Probar con API directa POST .../auth/register y cuerpos inválidos/válidos.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Steps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1) Localizar validaciones en código. 2) Enviar document_id con 9 dígitos → 400. 3) Enviar 10 dígitos + resto de campos válidos (o esperar 400 por duplicado si ya existe).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Test Data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NIT 9 dígitos: 900123456; NIT 10: definir no duplicado.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Expected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Mensajes detail / error_response acordes a las ramas leídas.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Actual Result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(rellenar)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Pre-condition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Roles Proveedor existentes en BD.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Post-condition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Limpiar registro de prueba si se creó.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t>Pass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t>Notes/Comments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</w:p>
        </w:tc>
      </w:tr>
    </w:tbl>
    <w:p/>
    <w:p>
      <w:pPr>
        <w:pStyle w:val="Heading1"/>
      </w:pPr>
      <w:r>
        <w:t>Resumen rápido</w:t>
      </w:r>
    </w:p>
    <w:p>
      <w:pPr>
        <w:spacing w:after="120"/>
      </w:pPr>
      <w:r>
        <w:t>- Caja negra: NB-1 a NB-4 (UI y comportamiento sin código).</w:t>
      </w:r>
    </w:p>
    <w:p>
      <w:pPr>
        <w:spacing w:after="120"/>
      </w:pPr>
      <w:r>
        <w:t>- Caja gris: CG-1 a CG-4 (contrato API / config).</w:t>
      </w:r>
    </w:p>
    <w:p>
      <w:pPr>
        <w:spacing w:after="120"/>
      </w:pPr>
      <w:r>
        <w:t>- Caja blanca: CB-1 a CB-4 (middleware, flags, ramas en appointments / auth).</w:t>
      </w:r>
    </w:p>
    <w:p>
      <w:pPr>
        <w:spacing w:after="120"/>
      </w:pPr>
      <w:r>
        <w:t>Puedes duplicar filas en tu hoja de cálculo y añadir IDs NB-5, CG-5, etc., para flujos que te falten (cambio de estado de cita, extend, admin logs).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