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Cumplimiento de requisitos — Resumen</w:t>
      </w:r>
    </w:p>
    <w:p>
      <w:pPr>
        <w:spacing w:after="120"/>
      </w:pPr>
      <w:r>
        <w:t>Documento de seguimiento frente a ESPECIFICACION_REQUISITOS_IEEE830_FERRAGRO.docx y req_trabajo.xlsx.</w:t>
      </w:r>
    </w:p>
    <w:p>
      <w:pPr>
        <w:pStyle w:val="Heading1"/>
      </w:pPr>
      <w:r>
        <w:t>Estado general (mayo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Área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Evidencia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Auth JWT + refresh cookie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Implementado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backend/app/api/auth.py, pruebas manuales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Roles Admin / Logística / Proveedor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Implementado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Panel por rol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Citas con anticipación y conflictos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Implementado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appointment_service.py, 409 por solapamiento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Bodegas en citas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Implementado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014, modelos, UI selector de bodega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Franjas por bodega y fecha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Implementado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014, 009, API appointments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SMTP / recuperación contraseña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Implementado (requiere env en Render)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/health → email_enabled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Auditoría historial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Implementado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Triggers 002, tablas historial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Despliegue Vercel + Render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Operativo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Guía operación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Pruebas automatizadas BD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Implementado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test_db_crud_functions.py (12 tests)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Pruebas reglas logística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Implementado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test_logistics_business_rules.py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CI en cada PR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Pendiente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Recomendado workflow pytest + build</w:t>
            </w:r>
          </w:p>
        </w:tc>
      </w:tr>
    </w:tbl>
    <w:p/>
    <w:p>
      <w:pPr>
        <w:pStyle w:val="Heading1"/>
      </w:pPr>
      <w:r>
        <w:t>Requisitos recientes cubiertos</w:t>
      </w:r>
    </w:p>
    <w:p>
      <w:pPr>
        <w:spacing w:after="120"/>
      </w:pPr>
      <w:r>
        <w:t>1. RF bodega obligatoria: toda cita persiste IdBodega; función citas_create actualizada.</w:t>
      </w:r>
    </w:p>
    <w:p>
      <w:pPr>
        <w:spacing w:after="120"/>
      </w:pPr>
      <w:r>
        <w:t>2. RNF rendimiento: índices 015, listado por semana, available-slots unificado (ver ESCALABILIDAD.md).</w:t>
      </w:r>
    </w:p>
    <w:p>
      <w:pPr>
        <w:spacing w:after="120"/>
      </w:pPr>
      <w:r>
        <w:t>3. RNF disponibilidad: /health con build_id y flags SMTP.</w:t>
      </w:r>
    </w:p>
    <w:p>
      <w:pPr>
        <w:pStyle w:val="Heading1"/>
      </w:pPr>
      <w:r>
        <w:t>Brechas conocidas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Tema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Notas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Plan Free Render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Cold start 30–90 s; no es fallo de software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Alembic / versionado migraciones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Scripts init/ manuales; tabla schema_migrations no implementada aún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E2E Playwright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No automatizado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Excel de trazabilidad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Actualizar MATRIZ_TRAZABILIDAD_FERRAGRO.xlsx manualmente tras cambios RF</w:t>
            </w:r>
          </w:p>
        </w:tc>
      </w:tr>
    </w:tbl>
    <w:p/>
    <w:p>
      <w:pPr>
        <w:pStyle w:val="Heading1"/>
      </w:pPr>
      <w:r>
        <w:t>Cómo actualizar este documento</w:t>
      </w:r>
    </w:p>
    <w:p>
      <w:pPr>
        <w:spacing w:after="120"/>
      </w:pPr>
      <w:r>
        <w:t>1. Regenerar IEEE 830: python docs/generate_ieee830.py</w:t>
      </w:r>
    </w:p>
    <w:p>
      <w:pPr>
        <w:spacing w:after="120"/>
      </w:pPr>
      <w:r>
        <w:t>2. Exportar requisitos: python docs/_extract_req.py</w:t>
      </w:r>
    </w:p>
    <w:p>
      <w:pPr>
        <w:spacing w:after="120"/>
      </w:pPr>
      <w:r>
        <w:t>3. Revisar casos en [PRUEBAS.md](PRUEBAS.md)</w:t>
      </w:r>
    </w:p>
    <w:p>
      <w:pPr>
        <w:spacing w:after="120"/>
      </w:pPr>
      <w:r>
        <w:t>4. Copiar resumen a CUMPLIMIENTO_REQ.docx si se entrega en Word</w:t>
      </w:r>
    </w:p>
    <w:p>
      <w:pPr>
        <w:spacing w:after="120"/>
      </w:pPr>
      <w:r>
        <w:rPr>
          <w:i/>
        </w:rPr>
        <w:t>Última actualización: mayo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