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ESPECIFICACIÓN DE REQUISITOS DE SOFTWARE</w:t>
      </w:r>
    </w:p>
    <w:p>
      <w:pPr>
        <w:jc w:val="center"/>
      </w:pPr>
      <w:r>
        <w:rPr>
          <w:b/>
          <w:sz w:val="28"/>
        </w:rPr>
        <w:t>Sistema Ferragro — Gestión de Citas de Entrega de Materiales</w:t>
      </w:r>
    </w:p>
    <w:p/>
    <w:p>
      <w:pPr>
        <w:jc w:val="center"/>
      </w:pPr>
      <w:r>
        <w:t>Versión del documento: 1.1</w:t>
      </w:r>
    </w:p>
    <w:p>
      <w:pPr>
        <w:jc w:val="center"/>
      </w:pPr>
      <w:r>
        <w:t>Fecha: 21/05/2026</w:t>
      </w:r>
    </w:p>
    <w:p>
      <w:pPr>
        <w:jc w:val="center"/>
      </w:pPr>
      <w:r>
        <w:t>Organización: Ferragro</w:t>
      </w:r>
    </w:p>
    <w:p>
      <w:pPr>
        <w:jc w:val="center"/>
      </w:pPr>
      <w:r>
        <w:t>Estándar de referencia: IEEE Std 830-1998</w:t>
      </w:r>
    </w:p>
    <w:p>
      <w:pPr>
        <w:jc w:val="center"/>
      </w:pPr>
      <w:r>
        <w:t>Estado: Borrador para revisión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define los requisitos funcionales y no funcionales del software Ferragro: portal web para agendar, revisar y administrar citas de entrega de materiales entre proveedores y el personal interno de Ferragro (Admin y Logística). Sirve como contrato entre las partes interesadas y el equipo de desarrollo, y como base para pruebas de aceptación y mantenimiento.</w:t>
      </w:r>
    </w:p>
    <w:p>
      <w:pPr>
        <w:pStyle w:val="Heading2"/>
      </w:pPr>
      <w:r>
        <w:t>1.2 Alcance</w:t>
      </w:r>
    </w:p>
    <w:p>
      <w:r>
        <w:t>El producto comprende:</w:t>
      </w:r>
    </w:p>
    <w:p>
      <w:pPr>
        <w:pStyle w:val="ListBullet"/>
      </w:pPr>
      <w:r>
        <w:t>Aplicación web (interfaz de usuario) accesible desde navegador.</w:t>
      </w:r>
    </w:p>
    <w:p>
      <w:pPr>
        <w:pStyle w:val="ListBullet"/>
      </w:pPr>
      <w:r>
        <w:t>API REST (backend) con autenticación JWT y sesiones de actualización.</w:t>
      </w:r>
    </w:p>
    <w:p>
      <w:pPr>
        <w:pStyle w:val="ListBullet"/>
      </w:pPr>
      <w:r>
        <w:t>Base de datos relacional PostgreSQL para credenciales, usuarios, proveedores, citas, franjas horarias y auditoría.</w:t>
      </w:r>
    </w:p>
    <w:p>
      <w:r>
        <w:t>Queda fuera de alcance, salvo integración futura explícita:</w:t>
      </w:r>
    </w:p>
    <w:p>
      <w:pPr>
        <w:pStyle w:val="ListBullet"/>
      </w:pPr>
      <w:r>
        <w:t>Sistemas ERP o inventario de Ferragro.</w:t>
      </w:r>
    </w:p>
    <w:p>
      <w:pPr>
        <w:pStyle w:val="ListBullet"/>
      </w:pPr>
      <w:r>
        <w:t>Facturación, pagos en línea y firma electrónica de documentos legales.</w:t>
      </w:r>
    </w:p>
    <w:p>
      <w:pPr>
        <w:pStyle w:val="ListBullet"/>
      </w:pPr>
      <w:r>
        <w:t>Aplicaciones móviles nativas (iOS/Android); el acceso móvil se realiza vía navegador responsivo.</w:t>
      </w:r>
    </w:p>
    <w:p>
      <w:pPr>
        <w:pStyle w:val="Heading2"/>
      </w:pPr>
      <w:r>
        <w:t>1.3 Definiciones, acrónimos y abreviaturas</w:t>
      </w:r>
    </w:p>
    <w:p>
      <w:pPr>
        <w:pStyle w:val="ListBullet"/>
      </w:pPr>
      <w:r>
        <w:t>API: Interfaz de programación de aplicaciones; servicio HTTP JSON del backend.</w:t>
      </w:r>
    </w:p>
    <w:p>
      <w:pPr>
        <w:pStyle w:val="ListBullet"/>
      </w:pPr>
      <w:r>
        <w:t>Admin: Usuario interno con permisos completos de configuración y eliminación.</w:t>
      </w:r>
    </w:p>
    <w:p>
      <w:pPr>
        <w:pStyle w:val="ListBullet"/>
      </w:pPr>
      <w:r>
        <w:t>Bodega: Lugar de entrega (almacén/punto logístico) donde se agenda la cita; define franjas y conflictos horarios.</w:t>
      </w:r>
    </w:p>
    <w:p>
      <w:pPr>
        <w:pStyle w:val="ListBullet"/>
      </w:pPr>
      <w:r>
        <w:t>Cita: Reserva de una ventana horaria para entrega de material en una bodega Ferragro.</w:t>
      </w:r>
    </w:p>
    <w:p>
      <w:pPr>
        <w:pStyle w:val="ListBullet"/>
      </w:pPr>
      <w:r>
        <w:t>Credencial: Registro de correo y contraseña (hash) usado para autenticación.</w:t>
      </w:r>
    </w:p>
    <w:p>
      <w:pPr>
        <w:pStyle w:val="ListBullet"/>
      </w:pPr>
      <w:r>
        <w:t>Franja horaria: Intervalo de tiempo en el que se permiten citas (configurable por día).</w:t>
      </w:r>
    </w:p>
    <w:p>
      <w:pPr>
        <w:pStyle w:val="ListBullet"/>
      </w:pPr>
      <w:r>
        <w:t>JWT: JSON Web Token; credencial de acceso de corta duración.</w:t>
      </w:r>
    </w:p>
    <w:p>
      <w:pPr>
        <w:pStyle w:val="ListBullet"/>
      </w:pPr>
      <w:r>
        <w:t>Logística: Usuario interno operativo: revisión de citas, proveedores y reportes.</w:t>
      </w:r>
    </w:p>
    <w:p>
      <w:pPr>
        <w:pStyle w:val="ListBullet"/>
      </w:pPr>
      <w:r>
        <w:t>NIT: Número de identificación tributaria del proveedor (10 dígitos en el sistema).</w:t>
      </w:r>
    </w:p>
    <w:p>
      <w:pPr>
        <w:pStyle w:val="ListBullet"/>
      </w:pPr>
      <w:r>
        <w:t>Proveedor: Empresa externa que solicita citas de entrega.</w:t>
      </w:r>
    </w:p>
    <w:p>
      <w:pPr>
        <w:pStyle w:val="ListBullet"/>
      </w:pPr>
      <w:r>
        <w:t>RF: Requisito funcional.</w:t>
      </w:r>
    </w:p>
    <w:p>
      <w:pPr>
        <w:pStyle w:val="ListBullet"/>
      </w:pPr>
      <w:r>
        <w:t>RNF: Requisito no funcional.</w:t>
      </w:r>
    </w:p>
    <w:p>
      <w:pPr>
        <w:pStyle w:val="Heading2"/>
      </w:pPr>
      <w:r>
        <w:t>1.4 Referencias</w:t>
      </w:r>
    </w:p>
    <w:p>
      <w:pPr>
        <w:pStyle w:val="ListBullet"/>
      </w:pPr>
      <w:r>
        <w:t>IEEE Std 830-1998 — IEEE Recommended Practice for Software Requirements Specifications.</w:t>
      </w:r>
    </w:p>
    <w:p>
      <w:pPr>
        <w:pStyle w:val="Heading2"/>
      </w:pPr>
      <w:r>
        <w:t>1.5 Visión general del documento</w:t>
      </w:r>
    </w:p>
    <w:p>
      <w:r>
        <w:t>La sección 2 describe el producto en términos generales. La sección 3 detalla requisitos específicos numerados (RF-xxx, RNF-xxx). La sección 4 resume trazabilidad entre actores y requisitos.</w:t>
      </w:r>
    </w:p>
    <w:p>
      <w:pPr>
        <w:pStyle w:val="Heading1"/>
      </w:pPr>
      <w:r>
        <w:t>2. Descripción general</w:t>
      </w:r>
    </w:p>
    <w:p>
      <w:pPr>
        <w:pStyle w:val="Heading2"/>
      </w:pPr>
      <w:r>
        <w:t>2.1 Perspectiva del producto</w:t>
      </w:r>
    </w:p>
    <w:p>
      <w:r>
        <w:t>Ferragro Citas es un sistema independiente que centraliza el agendamiento de entregas. Se despliega típicamente con frontend estático (Vercel), API (Render) y PostgreSQL (Render). Los proveedores interactúan por registro público o alta administrada; el personal interno gestiona franjas, estados de citas y usuarios.</w:t>
      </w:r>
    </w:p>
    <w:p>
      <w:pPr>
        <w:pStyle w:val="Heading2"/>
      </w:pPr>
      <w:r>
        <w:t>2.2 Funciones del producto</w:t>
      </w:r>
    </w:p>
    <w:p>
      <w:pPr>
        <w:pStyle w:val="ListBullet"/>
      </w:pPr>
      <w:r>
        <w:t>Autenticación unificada (correo y contraseña) con roles Admin, Logística y Proveedor.</w:t>
      </w:r>
    </w:p>
    <w:p>
      <w:pPr>
        <w:pStyle w:val="ListBullet"/>
      </w:pPr>
      <w:r>
        <w:t>Registro de proveedores con validación de NIT, dígito de verificación y datos de contacto.</w:t>
      </w:r>
    </w:p>
    <w:p>
      <w:pPr>
        <w:pStyle w:val="ListBullet"/>
      </w:pPr>
      <w:r>
        <w:t>Creación y consulta de citas con validación de anticipación mínima y conflictos horarios.</w:t>
      </w:r>
    </w:p>
    <w:p>
      <w:pPr>
        <w:pStyle w:val="ListBullet"/>
      </w:pPr>
      <w:r>
        <w:t>Gestión de bodegas (lugares de entrega) y franjas horarias por bodega y calendario (zona America/Bogota).</w:t>
      </w:r>
    </w:p>
    <w:p>
      <w:pPr>
        <w:pStyle w:val="ListBullet"/>
      </w:pPr>
      <w:r>
        <w:t>Revisión, extensión, reprogramación y cancelación de citas según rol.</w:t>
      </w:r>
    </w:p>
    <w:p>
      <w:pPr>
        <w:pStyle w:val="ListBullet"/>
      </w:pPr>
      <w:r>
        <w:t>Gestión de usuarios internos y proveedores por personal autorizado.</w:t>
      </w:r>
    </w:p>
    <w:p>
      <w:pPr>
        <w:pStyle w:val="ListBullet"/>
      </w:pPr>
      <w:r>
        <w:t>Notificaciones en aplicación, recordatorios programados y correo opcional (SMTP).</w:t>
      </w:r>
    </w:p>
    <w:p>
      <w:pPr>
        <w:pStyle w:val="ListBullet"/>
      </w:pPr>
      <w:r>
        <w:t>Auditoría de inicios de sesión, eventos administrativos e historial de cambios en citas.</w:t>
      </w:r>
    </w:p>
    <w:p>
      <w:pPr>
        <w:pStyle w:val="ListBullet"/>
      </w:pPr>
      <w:r>
        <w:t>Exportación de citas a hoja de cálculo y panel de analítica para personal interno.</w:t>
      </w:r>
    </w:p>
    <w:p>
      <w:pPr>
        <w:pStyle w:val="ListBullet"/>
      </w:pPr>
      <w:r>
        <w:t>Perfil de usuario: actualización de datos, contraseña y foto (almacenamiento opcional en nube).</w:t>
      </w:r>
    </w:p>
    <w:p>
      <w:pPr>
        <w:pStyle w:val="Heading2"/>
      </w:pPr>
      <w:r>
        <w:t>2.3 Características de los usuarios</w:t>
      </w:r>
    </w:p>
    <w:p>
      <w:r>
        <w:t>Clases de usuario y competencias esperadas:</w:t>
      </w:r>
    </w:p>
    <w:p>
      <w:pPr>
        <w:pStyle w:val="ListBullet"/>
      </w:pPr>
      <w:r>
        <w:t>Administrador: conocimiento del proceso logístico y del panel; configura franjas, usuarios y políticas operativas.</w:t>
      </w:r>
    </w:p>
    <w:p>
      <w:pPr>
        <w:pStyle w:val="ListBullet"/>
      </w:pPr>
      <w:r>
        <w:t>Logística: opera citas diarias, proveedores y reportes; no elimina proveedores ni citas salvo permisos explícitos de Admin donde aplique.</w:t>
      </w:r>
    </w:p>
    <w:p>
      <w:pPr>
        <w:pStyle w:val="ListBullet"/>
      </w:pPr>
      <w:r>
        <w:t>Proveedor: usuario de negocio con navegador; agenda y consulta sus propias citas; puede cancelar según reglas del sistema.</w:t>
      </w:r>
    </w:p>
    <w:p>
      <w:pPr>
        <w:pStyle w:val="ListBullet"/>
      </w:pPr>
      <w:r>
        <w:t>Visitante: accede a pantalla de inicio y registro/login sin autenticación previa.</w:t>
      </w:r>
    </w:p>
    <w:p>
      <w:pPr>
        <w:pStyle w:val="Heading2"/>
      </w:pPr>
      <w:r>
        <w:t>2.4 Restricciones generales</w:t>
      </w:r>
    </w:p>
    <w:p>
      <w:pPr>
        <w:pStyle w:val="ListBullet"/>
      </w:pPr>
      <w:r>
        <w:t>NIT de proveedor: exactamente 10 dígitos numéricos; dígito de verificación: 1 dígito.</w:t>
      </w:r>
    </w:p>
    <w:p>
      <w:pPr>
        <w:pStyle w:val="ListBullet"/>
      </w:pPr>
      <w:r>
        <w:t>Documento de persona responsable del proveedor: entre 7 y 10 dígitos.</w:t>
      </w:r>
    </w:p>
    <w:p>
      <w:pPr>
        <w:pStyle w:val="ListBullet"/>
      </w:pPr>
      <w:r>
        <w:t>Documento de usuario interno: solo dígitos; longitud según reglas de validación del API.</w:t>
      </w:r>
    </w:p>
    <w:p>
      <w:pPr>
        <w:pStyle w:val="ListBullet"/>
      </w:pPr>
      <w:r>
        <w:t>Anticipación mínima para agendar o reprogramar (proveedor): configurable (por defecto 24 horas antes del inicio).</w:t>
      </w:r>
    </w:p>
    <w:p>
      <w:pPr>
        <w:pStyle w:val="ListBullet"/>
      </w:pPr>
      <w:r>
        <w:t>Duración por defecto de una cita: 90 minutos, ampliable por personal interno.</w:t>
      </w:r>
    </w:p>
    <w:p>
      <w:pPr>
        <w:pStyle w:val="ListBullet"/>
      </w:pPr>
      <w:r>
        <w:t>Estados de cita: sin revisión, revisado, finalizada, no presentada, cancelado.</w:t>
      </w:r>
    </w:p>
    <w:p>
      <w:pPr>
        <w:pStyle w:val="ListBullet"/>
      </w:pPr>
      <w:r>
        <w:t>Un correo electrónico no puede asociarse a más de una credencial activa.</w:t>
      </w:r>
    </w:p>
    <w:p>
      <w:pPr>
        <w:pStyle w:val="ListBullet"/>
      </w:pPr>
      <w:r>
        <w:t>Un NIT no puede registrarse dos veces mientras exista el proveedor en base de datos.</w:t>
      </w:r>
    </w:p>
    <w:p>
      <w:pPr>
        <w:pStyle w:val="ListBullet"/>
      </w:pPr>
      <w:r>
        <w:t>Toda cita debe asociarse a una bodega activa (IdBodega obligatorio).</w:t>
      </w:r>
    </w:p>
    <w:p>
      <w:pPr>
        <w:pStyle w:val="ListBullet"/>
      </w:pPr>
      <w:r>
        <w:t>Conflictos de horario se evalúan por bodega: dos citas no pueden solaparse en la misma bodega y ventana.</w:t>
      </w:r>
    </w:p>
    <w:p>
      <w:pPr>
        <w:pStyle w:val="ListBullet"/>
      </w:pPr>
      <w:r>
        <w:t>Producción debe operar bajo HTTPS; cookies de actualización seguras en entorno productivo.</w:t>
      </w:r>
    </w:p>
    <w:p>
      <w:pPr>
        <w:pStyle w:val="Heading2"/>
      </w:pPr>
      <w:r>
        <w:t>2.5 Supuestos y dependencias</w:t>
      </w:r>
    </w:p>
    <w:p>
      <w:pPr>
        <w:pStyle w:val="ListBullet"/>
      </w:pPr>
      <w:r>
        <w:t>Disponibilidad de PostgreSQL y conectividad de red entre cliente, API y base de datos.</w:t>
      </w:r>
    </w:p>
    <w:p>
      <w:pPr>
        <w:pStyle w:val="ListBullet"/>
      </w:pPr>
      <w:r>
        <w:t>Reloj del servidor sincronizado (UTC en base de datos; presentación en zona America/Bogota).</w:t>
      </w:r>
    </w:p>
    <w:p>
      <w:pPr>
        <w:pStyle w:val="ListBullet"/>
      </w:pPr>
      <w:r>
        <w:t>Para recuperación de contraseña por correo: servidor SMTP configurado en el API.</w:t>
      </w:r>
    </w:p>
    <w:p>
      <w:pPr>
        <w:pStyle w:val="ListBullet"/>
      </w:pPr>
      <w:r>
        <w:t>Para fotos de perfil en nube: cuenta Cloudinary configurada (opcional).</w:t>
      </w:r>
    </w:p>
    <w:p>
      <w:pPr>
        <w:pStyle w:val="ListBullet"/>
      </w:pPr>
      <w:r>
        <w:t>Los proveedores disponen de correo electrónico válido para notificaciones.</w:t>
      </w:r>
    </w:p>
    <w:p>
      <w:pPr>
        <w:pStyle w:val="Heading1"/>
      </w:pPr>
      <w:r>
        <w:t>3. Requisitos específicos</w:t>
      </w:r>
    </w:p>
    <w:p>
      <w:r>
        <w:t>Los requisitos siguientes describen comportamiento observable del sistema. La prioridad Alta indica funcionalidad crítica para operación; Media, importante pero no bloqueante del día a día.</w:t>
      </w:r>
    </w:p>
    <w:p>
      <w:pPr>
        <w:pStyle w:val="Heading2"/>
      </w:pPr>
      <w:r>
        <w:t>3.1 Requisitos funcionales</w:t>
      </w:r>
    </w:p>
    <w:p>
      <w:pPr>
        <w:pStyle w:val="Heading2"/>
      </w:pPr>
      <w:r>
        <w:t>3.1.1 Autenticación y sesión</w:t>
      </w:r>
    </w:p>
    <w:p>
      <w:pPr>
        <w:pStyle w:val="Heading3"/>
      </w:pPr>
      <w:r>
        <w:t>RF-001: Registro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Visitante</w:t>
      </w:r>
    </w:p>
    <w:p>
      <w:pPr>
        <w:pStyle w:val="ListBullet"/>
      </w:pPr>
      <w:r>
        <w:t>Descripción: El visitante puede registrarse como proveedor indicando NIT, dígito de verificación, datos de empresa, persona responsable, correo y contraseña. El sistema rechaza NIT o correo duplicados.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RF-002: Inicio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El usuario autentica con correo y contraseña. El sistema entrega token de acceso (JWT) y establece cookie HttpOnly de actualización. Registra intentos fallidos.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RF-003: Bloqueo por intentos fallidos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Tras superar el máximo de intentos fallidos (por defecto 5), la cuenta queda bloqueada durante un período configurable (por defecto 15 minutos).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RF-004: Renovación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Con cookie de actualización válida, el cliente obtiene un nuevo token de acceso sin volver a ingresar contraseña.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RF-005: Cierre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puede cerrar sesión; el sistema revoca la sesión de actualización y el cliente elimina el token local.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RF-006: Cierre en todos los dispositivos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autenticado puede invalidar todas las sesiones de actualización asociadas a su credencial.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RF-007: Recuperación de contraseña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Mediante correo registrado, el usuario solicita restablecimiento; el sistema aplica cooldown entre solicitudes y envía contraseña temporal por SMTP si está configurado.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RF-008: Cambio de contraseña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autenticado puede cambiar su contraseña proporcionando la actual y la nueva.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3.1.2 Usuarios internos y roles</w:t>
      </w:r>
    </w:p>
    <w:p>
      <w:pPr>
        <w:pStyle w:val="Heading3"/>
      </w:pPr>
      <w:r>
        <w:t>RF-009: Listado de roles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los roles definidos en el sistema.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RF-010: Administración de roles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crea, actualiza y elimina roles cuando no existan dependencias que lo impidan.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RF-011: Alta de usuario interno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crea usuarios con documento, nombre, correo, contraseña y rol Admin o Logística. Libera correos huérfanos si aplica antes de crear.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RF-012: Consulta y edición de usuarios internos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usuarios; Admin actualiza datos y credenciales.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RF-013: Eliminación de usuario interno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 usuario interno y su credencial asociada, conservando historial de auditoría referenciado por documento.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RF-014: Liberación de correo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ejecuta liberación de un correo eliminando credenciales huérfanas sin usuario ni proveedor activo.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3.1.3 Proveedores</w:t>
      </w:r>
    </w:p>
    <w:p>
      <w:pPr>
        <w:pStyle w:val="Heading3"/>
      </w:pPr>
      <w:r>
        <w:t>RF-015: Listado y detalle de proveedores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el catálogo de proveedores y el detalle por NIT.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RF-016: Creación de proveedor por staff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registran un proveedor con credenciales; el sistema valida unicidad de NIT y correo.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RF-017: Actualización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modifican datos del proveedor y, si aplica, correo o contraseña.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RF-018: Eliminación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 proveedor y su credencial si no existen dependencias (p. ej. citas) que lo impidan.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3.1.4 Citas de entrega</w:t>
      </w:r>
    </w:p>
    <w:p>
      <w:pPr>
        <w:pStyle w:val="Heading3"/>
      </w:pPr>
      <w:r>
        <w:t>RF-019: Solicitud de cita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crea una cita indicando bodega, material, fecha/hora de inicio y duración. El sistema valida anticipación mínima, franja permitida en esa bodega y ausencia de conflicto horario en la bodega.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RF-020: Gestión de bodegas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define bodegas (nombre, dirección, activa/inactiva, orden). Las citas y franjas se asocian a una bodega.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RF-021: Consulta de citas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consulta sus citas en modos lista, día o mes con filtros de estado.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RF-022: Consulta operativa de citas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citas con filtros por fecha, estado, proveedor y ordenamiento.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RF-023: Creación de cita por Admin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puede crear citas en nombre de un proveedor seleccionado.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RF-024: Actualización de cita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modifican datos de una cita existente según reglas de negocio.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RF-025: Eliminación de cita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una cita cuando la operación lo requiere.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RF-026: Cambio de estado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 (según operación)</w:t>
      </w:r>
    </w:p>
    <w:p>
      <w:pPr>
        <w:pStyle w:val="ListBullet"/>
      </w:pPr>
      <w:r>
        <w:t>Descripción: Personal autorizado cambia el estado (sin revisión, revisado, finalizada, no presentada, cancelado) con registro en historial.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RF-027: Extensión de duración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amplían la duración de una cita activa respetando disponibilidad.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RF-028: Reprogramación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 (según flujo)</w:t>
      </w:r>
    </w:p>
    <w:p>
      <w:pPr>
        <w:pStyle w:val="ListBullet"/>
      </w:pPr>
      <w:r>
        <w:t>Descripción: Se reprograma una cita a nuevo horario validando franjas y conflictos.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RF-029: Cancelación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cancela su cita dentro de las reglas definidas (estados permitidos y plazos).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RF-030: Verificación de conflicto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Antes de confirmar horario, el sistema indica si existe solapamiento con otra cita en la misma bodega y ventana.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RF-031: Consulta de cupos disponibles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Proveedor, Admin, Logística</w:t>
      </w:r>
    </w:p>
    <w:p>
      <w:pPr>
        <w:pStyle w:val="ListBullet"/>
      </w:pPr>
      <w:r>
        <w:t>Descripción: El sistema calcula franjas disponibles para una fecha, bodega y proveedor según configuración y citas existentes.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RF-032: Exportación de citas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descargan reporte de citas en formato de hoja de cálculo (.xlsx).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RF-033: Finalización automática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puede marcar citas como finalizadas cuando su ventana horaria ya concluyó, según tarea programada.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3.1.5 Franjas horarias y calendario</w:t>
      </w:r>
    </w:p>
    <w:p>
      <w:pPr>
        <w:pStyle w:val="Heading3"/>
      </w:pPr>
      <w:r>
        <w:t>RF-034: Consulta de franjas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Usuarios autenticados consultan la configuración de franjas por día de la semana.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RF-035: Franjas resueltas por fecha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resuelve franjas efectivas para una fecha concreta (incluye excepciones por fecha).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RF-036: Configuración de franjas semanales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define o actualiza intervalos permitidos por día de la semana y por bodega.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RF-037: Excepciones por fecha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configura franjas o cierres específicos para fechas puntuales y bodega (festivos, mantenimiento).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RF-038: Resumen de disponibilidad por fecha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Se expone resumen de capacidad/ocupación por fecha para apoyo a la programación.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3.1.6 Perfil, notificaciones y auditoría</w:t>
      </w:r>
    </w:p>
    <w:p>
      <w:pPr>
        <w:pStyle w:val="Heading3"/>
      </w:pPr>
      <w:r>
        <w:t>RF-039: Perfil propio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Todo usuario autenticado consulta y actualiza su perfil (nombre, correo donde aplique).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RF-040: Foto de perfil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sube o elimina foto de perfil; almacenamiento en servicio de medios en nube si está configurado.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RF-041: Centro de notificaciones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recibe notificaciones en aplicación, las marca como leídas individual o masivamente.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RF-042: Recordatorios de cita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envía recordatorios automáticos antes del inicio de citas en estados elegibles.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RF-043: Historial de cambios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el historial de modificaciones de citas y acciones relevantes.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RF-044: Auditoría de administración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consulta eventos administrativos (altas, bajas, cambios de configuración).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RF-045: Auditoría de accesos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registra intentos de login exitosos y fallidos para análisis de seguridad.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3.1.7 Interfaz web (frontend)</w:t>
      </w:r>
    </w:p>
    <w:p>
      <w:pPr>
        <w:pStyle w:val="Heading3"/>
      </w:pPr>
      <w:r>
        <w:t>RF-046: Página de inicio y acceso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Visitante</w:t>
      </w:r>
    </w:p>
    <w:p>
      <w:pPr>
        <w:pStyle w:val="ListBullet"/>
      </w:pPr>
      <w:r>
        <w:t>Descripción: El visitante accede a landing, enlace de login y registro de proveedor.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RF-047: Panel por rol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Tras autenticación, el usuario accede a un panel con menú acorde a su rol (citas, franjas, equipo, auditoría, analítica, configuración).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RF-048: Tema claro y oscuro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alterna tema visual; la preferencia se conserva en el cliente.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RF-049: Tour guiado</w:t>
      </w:r>
    </w:p>
    <w:p>
      <w:pPr>
        <w:pStyle w:val="ListBullet"/>
      </w:pPr>
      <w:r>
        <w:t>Prioridad: Baja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panel ofrece recorrido guiado por módulos principales para facilitar adopción.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RF-050: Mensajes de error de API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La interfaz muestra mensajes devueltos por el API de forma comprensible al usuario final.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RF-051: Renovación silenciosa de token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Ante expiración del token de acceso, el cliente solicita renovación automática usando la cookie de actualización.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RF-052: Despertar API en producción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Proveedor, Admin, Logística</w:t>
      </w:r>
    </w:p>
    <w:p>
      <w:pPr>
        <w:pStyle w:val="ListBullet"/>
      </w:pPr>
      <w:r>
        <w:t>Descripción: Ante hosting con suspensión por inactividad, el cliente puede solicitar /health antes del login para reducir timeouts.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3.2 Requisitos no funcionales</w:t>
      </w:r>
    </w:p>
    <w:p>
      <w:pPr>
        <w:pStyle w:val="Heading3"/>
      </w:pPr>
      <w:r>
        <w:t>RNF-001: Rendimiento del API</w:t>
      </w:r>
    </w:p>
    <w:p>
      <w:pPr>
        <w:pStyle w:val="ListBullet"/>
      </w:pPr>
      <w:r>
        <w:t>Categoría: Eficiencia</w:t>
      </w:r>
    </w:p>
    <w:p>
      <w:pPr>
        <w:pStyle w:val="ListBullet"/>
      </w:pPr>
      <w:r>
        <w:t>Descripción: Las operaciones frecuentes de consulta y mutación deben completarse en menos de 500 ms en condiciones normales de producción (excluyendo arranque en frío del hosting gratuito).</w:t>
      </w:r>
    </w:p>
    <w:p>
      <w:pPr>
        <w:pStyle w:val="ListBullet"/>
      </w:pPr>
      <w:r>
        <w:t>Métrica / criterio: p95 &lt; 500 ms en /health y consultas de listado con paginación razonable.</w:t>
      </w:r>
    </w:p>
    <w:p>
      <w:pPr>
        <w:pStyle w:val="Heading3"/>
      </w:pPr>
      <w:r>
        <w:t>RNF-002: Tiempo de carga de interfaz</w:t>
      </w:r>
    </w:p>
    <w:p>
      <w:pPr>
        <w:pStyle w:val="ListBullet"/>
      </w:pPr>
      <w:r>
        <w:t>Categoría: Eficiencia</w:t>
      </w:r>
    </w:p>
    <w:p>
      <w:pPr>
        <w:pStyle w:val="ListBullet"/>
      </w:pPr>
      <w:r>
        <w:t>Descripción: Las pantallas principales del panel deben ser interactivas en menos de 2 segundos en red corporativa típica.</w:t>
      </w:r>
    </w:p>
    <w:p>
      <w:pPr>
        <w:pStyle w:val="ListBullet"/>
      </w:pPr>
      <w:r>
        <w:t>Métrica / criterio: First meaningful paint &lt; 2 s en conexión ≥ 10 Mbps.</w:t>
      </w:r>
    </w:p>
    <w:p>
      <w:pPr>
        <w:pStyle w:val="Heading3"/>
      </w:pPr>
      <w:r>
        <w:t>RNF-003: Seguridad de credenciales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Las contraseñas se almacenan con hash bcrypt; nunca en texto plano.</w:t>
      </w:r>
    </w:p>
    <w:p>
      <w:pPr>
        <w:pStyle w:val="Heading3"/>
      </w:pPr>
      <w:r>
        <w:t>RNF-004: Control de acceso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Cada endpoint exige autenticación y rol autorizado; respuestas 401/403 ante acceso indebido.</w:t>
      </w:r>
    </w:p>
    <w:p>
      <w:pPr>
        <w:pStyle w:val="Heading3"/>
      </w:pPr>
      <w:r>
        <w:t>RNF-005: Limitación de tasa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El API aplica límites de peticiones por minuto (mayor restricción en rutas de autenticación).</w:t>
      </w:r>
    </w:p>
    <w:p>
      <w:pPr>
        <w:pStyle w:val="ListBullet"/>
      </w:pPr>
      <w:r>
        <w:t>Métrica / criterio: Por defecto 120 req/min general y 20 req/min en auth.</w:t>
      </w:r>
    </w:p>
    <w:p>
      <w:pPr>
        <w:pStyle w:val="Heading3"/>
      </w:pPr>
      <w:r>
        <w:t>RNF-006: Disponibilidad</w:t>
      </w:r>
    </w:p>
    <w:p>
      <w:pPr>
        <w:pStyle w:val="ListBullet"/>
      </w:pPr>
      <w:r>
        <w:t>Categoría: Confiabilidad</w:t>
      </w:r>
    </w:p>
    <w:p>
      <w:pPr>
        <w:pStyle w:val="ListBullet"/>
      </w:pPr>
      <w:r>
        <w:t>Descripción: El servicio expone endpoint de salud; objetivo de disponibilidad mensual del 99 % en producción.</w:t>
      </w:r>
    </w:p>
    <w:p>
      <w:pPr>
        <w:pStyle w:val="ListBullet"/>
      </w:pPr>
      <w:r>
        <w:t>Métrica / criterio: GET /health responde 200 con identificador de build.</w:t>
      </w:r>
    </w:p>
    <w:p>
      <w:pPr>
        <w:pStyle w:val="Heading3"/>
      </w:pPr>
      <w:r>
        <w:t>RNF-007: Usabilidad</w:t>
      </w:r>
    </w:p>
    <w:p>
      <w:pPr>
        <w:pStyle w:val="ListBullet"/>
      </w:pPr>
      <w:r>
        <w:t>Categoría: Usabilidad</w:t>
      </w:r>
    </w:p>
    <w:p>
      <w:pPr>
        <w:pStyle w:val="ListBullet"/>
      </w:pPr>
      <w:r>
        <w:t>Descripción: Interfaz responsiva usable en escritorio y móvil; textos de validación en español.</w:t>
      </w:r>
    </w:p>
    <w:p>
      <w:pPr>
        <w:pStyle w:val="Heading3"/>
      </w:pPr>
      <w:r>
        <w:t>RNF-008: Mantenibilidad</w:t>
      </w:r>
    </w:p>
    <w:p>
      <w:pPr>
        <w:pStyle w:val="ListBullet"/>
      </w:pPr>
      <w:r>
        <w:t>Categoría: Mantenibilidad</w:t>
      </w:r>
    </w:p>
    <w:p>
      <w:pPr>
        <w:pStyle w:val="ListBullet"/>
      </w:pPr>
      <w:r>
        <w:t>Descripción: Código modular (capas API, servicios, modelos); contrato OpenAPI publicado en /docs.</w:t>
      </w:r>
    </w:p>
    <w:p>
      <w:pPr>
        <w:pStyle w:val="Heading3"/>
      </w:pPr>
      <w:r>
        <w:t>RNF-009: Trazabilidad de peticiones</w:t>
      </w:r>
    </w:p>
    <w:p>
      <w:pPr>
        <w:pStyle w:val="ListBullet"/>
      </w:pPr>
      <w:r>
        <w:t>Categoría: Operación</w:t>
      </w:r>
    </w:p>
    <w:p>
      <w:pPr>
        <w:pStyle w:val="ListBullet"/>
      </w:pPr>
      <w:r>
        <w:t>Descripción: El API acepta o genera identificador de correlación (X-Correlation-ID) para soporte.</w:t>
      </w:r>
    </w:p>
    <w:p>
      <w:pPr>
        <w:pStyle w:val="Heading3"/>
      </w:pPr>
      <w:r>
        <w:t>RNF-010: Respuesta API uniforme</w:t>
      </w:r>
    </w:p>
    <w:p>
      <w:pPr>
        <w:pStyle w:val="ListBullet"/>
      </w:pPr>
      <w:r>
        <w:t>Categoría: Interoperabilidad</w:t>
      </w:r>
    </w:p>
    <w:p>
      <w:pPr>
        <w:pStyle w:val="ListBullet"/>
      </w:pPr>
      <w:r>
        <w:t>Descripción: Todas las respuestas JSON siguen el esquema: success, data, message.</w:t>
      </w:r>
    </w:p>
    <w:p>
      <w:pPr>
        <w:pStyle w:val="Heading3"/>
      </w:pPr>
      <w:r>
        <w:t>RNF-011: Persistencia e integridad</w:t>
      </w:r>
    </w:p>
    <w:p>
      <w:pPr>
        <w:pStyle w:val="ListBullet"/>
      </w:pPr>
      <w:r>
        <w:t>Categoría: Fiabilidad de datos</w:t>
      </w:r>
    </w:p>
    <w:p>
      <w:pPr>
        <w:pStyle w:val="ListBullet"/>
      </w:pPr>
      <w:r>
        <w:t>Descripción: PostgreSQL garantiza unicidad de NIT, correo de proveedor y credencial; integridad referencial en citas.</w:t>
      </w:r>
    </w:p>
    <w:p>
      <w:pPr>
        <w:pStyle w:val="Heading3"/>
      </w:pPr>
      <w:r>
        <w:t>RNF-012: Zona horaria operativa</w:t>
      </w:r>
    </w:p>
    <w:p>
      <w:pPr>
        <w:pStyle w:val="ListBullet"/>
      </w:pPr>
      <w:r>
        <w:t>Categoría: Exactitud</w:t>
      </w:r>
    </w:p>
    <w:p>
      <w:pPr>
        <w:pStyle w:val="ListBullet"/>
      </w:pPr>
      <w:r>
        <w:t>Descripción: Validaciones de franja y calendario usan zona America/Bogota de forma consistente entre API e interfaz.</w:t>
      </w:r>
    </w:p>
    <w:p>
      <w:pPr>
        <w:pStyle w:val="Heading2"/>
      </w:pPr>
      <w:r>
        <w:t>3.3 Requisitos de interfaz externa</w:t>
      </w:r>
    </w:p>
    <w:p>
      <w:pPr>
        <w:pStyle w:val="Heading3"/>
      </w:pPr>
      <w:r>
        <w:t>3.3.1 Interfaces de usuario</w:t>
      </w:r>
    </w:p>
    <w:p>
      <w:pPr>
        <w:pStyle w:val="ListBullet"/>
      </w:pPr>
      <w:r>
        <w:t>Pantallas: inicio, login, registro proveedor, panel principal, formularios de cita, calendario de franjas, gestión de equipo y proveedores, auditoría, analítica, configuración y perfil.</w:t>
      </w:r>
    </w:p>
    <w:p>
      <w:pPr>
        <w:pStyle w:val="ListBullet"/>
      </w:pPr>
      <w:r>
        <w:t>Navegadores objetivo: últimas versiones de Chrome, Edge y Firefox.</w:t>
      </w:r>
    </w:p>
    <w:p>
      <w:pPr>
        <w:pStyle w:val="ListBullet"/>
      </w:pPr>
      <w:r>
        <w:t>Resolución mínima recomendada: 360 px de ancho (móvil).</w:t>
      </w:r>
    </w:p>
    <w:p>
      <w:pPr>
        <w:pStyle w:val="Heading3"/>
      </w:pPr>
      <w:r>
        <w:t>3.3.2 Interfaces de hardware</w:t>
      </w:r>
    </w:p>
    <w:p>
      <w:pPr>
        <w:pStyle w:val="ListBullet"/>
      </w:pPr>
      <w:r>
        <w:t>Cliente: PC, tableta o smartphone con navegador y conexión a Internet.</w:t>
      </w:r>
    </w:p>
    <w:p>
      <w:pPr>
        <w:pStyle w:val="ListBullet"/>
      </w:pPr>
      <w:r>
        <w:t>Servidor: instancia compatible con ASGI (uvicorn) y PostgreSQL 14+.</w:t>
      </w:r>
    </w:p>
    <w:p>
      <w:pPr>
        <w:pStyle w:val="Heading3"/>
      </w:pPr>
      <w:r>
        <w:t>3.3.3 Interfaces de software</w:t>
      </w:r>
    </w:p>
    <w:p>
      <w:pPr>
        <w:pStyle w:val="ListBullet"/>
      </w:pPr>
      <w:r>
        <w:t>API REST JSON bajo prefijo /api/v1 (auth, crud, appointments, notifications, admin).</w:t>
      </w:r>
    </w:p>
    <w:p>
      <w:pPr>
        <w:pStyle w:val="ListBullet"/>
      </w:pPr>
      <w:r>
        <w:t>PostgreSQL como único almacén transaccional.</w:t>
      </w:r>
    </w:p>
    <w:p>
      <w:pPr>
        <w:pStyle w:val="ListBullet"/>
      </w:pPr>
      <w:r>
        <w:t>SMTP opcional para correos transaccionales (bienvenida, recuperación, recordatorios).</w:t>
      </w:r>
    </w:p>
    <w:p>
      <w:pPr>
        <w:pStyle w:val="ListBullet"/>
      </w:pPr>
      <w:r>
        <w:t>Cloudinary opcional para imágenes de perfil.</w:t>
      </w:r>
    </w:p>
    <w:p>
      <w:pPr>
        <w:pStyle w:val="Heading3"/>
      </w:pPr>
      <w:r>
        <w:t>3.3.4 Interfaces de comunicaciones</w:t>
      </w:r>
    </w:p>
    <w:p>
      <w:pPr>
        <w:pStyle w:val="ListBullet"/>
      </w:pPr>
      <w:r>
        <w:t>HTTPS obligatorio en producción entre cliente y API.</w:t>
      </w:r>
    </w:p>
    <w:p>
      <w:pPr>
        <w:pStyle w:val="ListBullet"/>
      </w:pPr>
      <w:r>
        <w:t>CORS configurado para orígenes del frontend desplegado.</w:t>
      </w:r>
    </w:p>
    <w:p>
      <w:pPr>
        <w:pStyle w:val="ListBullet"/>
      </w:pPr>
      <w:r>
        <w:t>Cookies de actualización: HttpOnly, Secure y SameSite acorde al entorno productivo.</w:t>
      </w:r>
    </w:p>
    <w:p>
      <w:pPr>
        <w:pStyle w:val="Heading2"/>
      </w:pPr>
      <w:r>
        <w:t>3.4 Otros requisitos</w:t>
      </w:r>
    </w:p>
    <w:p>
      <w:pPr>
        <w:pStyle w:val="ListBullet"/>
      </w:pPr>
      <w:r>
        <w:t>Idioma de la interfaz y mensajes al usuario: español (Colombia).</w:t>
      </w:r>
    </w:p>
    <w:p>
      <w:pPr>
        <w:pStyle w:val="ListBullet"/>
      </w:pPr>
      <w:r>
        <w:t>Protección de datos personales: minimizar exposición de contraseñas y tokens en logs.</w:t>
      </w:r>
    </w:p>
    <w:p>
      <w:pPr>
        <w:pStyle w:val="ListBullet"/>
      </w:pPr>
      <w:r>
        <w:t>Los usuarios y proveedores no se eliminan automáticamente por tiempo; la baja es acción explícita de Admin.</w:t>
      </w:r>
    </w:p>
    <w:p>
      <w:pPr>
        <w:pStyle w:val="ListBullet"/>
      </w:pPr>
      <w:r>
        <w:t>Reutilización de NIT o correo tras eliminación completa del registro previo y ausencia de bloqueos por citas dependientes.</w:t>
      </w:r>
    </w:p>
    <w:p>
      <w:r>
        <w:br w:type="page"/>
      </w:r>
    </w:p>
    <w:p>
      <w:pPr>
        <w:pStyle w:val="Heading1"/>
      </w:pPr>
      <w:r>
        <w:t>4. Matriz de trazabilidad resumida</w:t>
      </w:r>
    </w:p>
    <w:p>
      <w:r>
        <w:t>Relación entre actores principales y grupos de requisitos funcionales: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Actor</w:t>
            </w:r>
          </w:p>
        </w:tc>
        <w:tc>
          <w:tcPr>
            <w:tcW w:type="dxa" w:w="3041"/>
          </w:tcPr>
          <w:p>
            <w:r>
              <w:t>Grupos RF</w:t>
            </w:r>
          </w:p>
        </w:tc>
        <w:tc>
          <w:tcPr>
            <w:tcW w:type="dxa" w:w="3041"/>
          </w:tcPr>
          <w:p>
            <w:r>
              <w:t>Requisitos clave</w:t>
            </w:r>
          </w:p>
        </w:tc>
      </w:tr>
      <w:tr>
        <w:tc>
          <w:tcPr>
            <w:tcW w:type="dxa" w:w="3041"/>
          </w:tcPr>
          <w:p>
            <w:r>
              <w:t>Visitante</w:t>
            </w:r>
          </w:p>
        </w:tc>
        <w:tc>
          <w:tcPr>
            <w:tcW w:type="dxa" w:w="3041"/>
          </w:tcPr>
          <w:p>
            <w:r>
              <w:t>3.1.1, 3.1.7</w:t>
            </w:r>
          </w:p>
        </w:tc>
        <w:tc>
          <w:tcPr>
            <w:tcW w:type="dxa" w:w="3041"/>
          </w:tcPr>
          <w:p>
            <w:r>
              <w:t>RF-001, registro e inicio</w:t>
            </w:r>
          </w:p>
        </w:tc>
      </w:tr>
      <w:tr>
        <w:tc>
          <w:tcPr>
            <w:tcW w:type="dxa" w:w="3041"/>
          </w:tcPr>
          <w:p>
            <w:r>
              <w:t>Proveedor</w:t>
            </w:r>
          </w:p>
        </w:tc>
        <w:tc>
          <w:tcPr>
            <w:tcW w:type="dxa" w:w="3041"/>
          </w:tcPr>
          <w:p>
            <w:r>
              <w:t>3.1.1, 3.1.4, 3.1.5, 3.1.6, 3.1.7</w:t>
            </w:r>
          </w:p>
        </w:tc>
        <w:tc>
          <w:tcPr>
            <w:tcW w:type="dxa" w:w="3041"/>
          </w:tcPr>
          <w:p>
            <w:r>
              <w:t>Citas propias, cupos, perfil</w:t>
            </w:r>
          </w:p>
        </w:tc>
      </w:tr>
      <w:tr>
        <w:tc>
          <w:tcPr>
            <w:tcW w:type="dxa" w:w="3041"/>
          </w:tcPr>
          <w:p>
            <w:r>
              <w:t>Logística</w:t>
            </w:r>
          </w:p>
        </w:tc>
        <w:tc>
          <w:tcPr>
            <w:tcW w:type="dxa" w:w="3041"/>
          </w:tcPr>
          <w:p>
            <w:r>
              <w:t>3.1.2–3.1.6, 3.1.7</w:t>
            </w:r>
          </w:p>
        </w:tc>
        <w:tc>
          <w:tcPr>
            <w:tcW w:type="dxa" w:w="3041"/>
          </w:tcPr>
          <w:p>
            <w:r>
              <w:t>Operación de citas y proveedores</w:t>
            </w:r>
          </w:p>
        </w:tc>
      </w:tr>
      <w:tr>
        <w:tc>
          <w:tcPr>
            <w:tcW w:type="dxa" w:w="3041"/>
          </w:tcPr>
          <w:p>
            <w:r>
              <w:t>Admin</w:t>
            </w:r>
          </w:p>
        </w:tc>
        <w:tc>
          <w:tcPr>
            <w:tcW w:type="dxa" w:w="3041"/>
          </w:tcPr>
          <w:p>
            <w:r>
              <w:t>Todos los grupos 3.1.x</w:t>
            </w:r>
          </w:p>
        </w:tc>
        <w:tc>
          <w:tcPr>
            <w:tcW w:type="dxa" w:w="3041"/>
          </w:tcPr>
          <w:p>
            <w:r>
              <w:t>Configuración, eliminaciones, franjas, auditoría</w:t>
            </w:r>
          </w:p>
        </w:tc>
      </w:tr>
    </w:tbl>
    <w:p/>
    <w:p>
      <w:pPr>
        <w:pStyle w:val="Heading2"/>
      </w:pPr>
      <w:r>
        <w:t>Historial de revisiones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t>Versión</w:t>
            </w:r>
          </w:p>
        </w:tc>
        <w:tc>
          <w:tcPr>
            <w:tcW w:type="dxa" w:w="2280"/>
          </w:tcPr>
          <w:p>
            <w:r>
              <w:t>Fecha</w:t>
            </w:r>
          </w:p>
        </w:tc>
        <w:tc>
          <w:tcPr>
            <w:tcW w:type="dxa" w:w="2280"/>
          </w:tcPr>
          <w:p>
            <w:r>
              <w:t>Autor</w:t>
            </w:r>
          </w:p>
        </w:tc>
        <w:tc>
          <w:tcPr>
            <w:tcW w:type="dxa" w:w="2280"/>
          </w:tcPr>
          <w:p>
            <w:r>
              <w:t>Descripción</w:t>
            </w:r>
          </w:p>
        </w:tc>
      </w:tr>
      <w:tr>
        <w:tc>
          <w:tcPr>
            <w:tcW w:type="dxa" w:w="2280"/>
          </w:tcPr>
          <w:p>
            <w:r>
              <w:t>1.0</w:t>
            </w:r>
          </w:p>
        </w:tc>
        <w:tc>
          <w:tcPr>
            <w:tcW w:type="dxa" w:w="2280"/>
          </w:tcPr>
          <w:p>
            <w:r>
              <w:t>21/05/2026</w:t>
            </w:r>
          </w:p>
        </w:tc>
        <w:tc>
          <w:tcPr>
            <w:tcW w:type="dxa" w:w="2280"/>
          </w:tcPr>
          <w:p>
            <w:r>
              <w:t>Equipo Ferragro</w:t>
            </w:r>
          </w:p>
        </w:tc>
        <w:tc>
          <w:tcPr>
            <w:tcW w:type="dxa" w:w="2280"/>
          </w:tcPr>
          <w:p>
            <w:r>
              <w:t>Emisión inicial de la especificación IEEE 830.</w:t>
            </w:r>
          </w:p>
        </w:tc>
      </w:tr>
      <w:tr>
        <w:tc>
          <w:tcPr>
            <w:tcW w:type="dxa" w:w="2280"/>
          </w:tcPr>
          <w:p>
            <w:r>
              <w:t>1.1</w:t>
            </w:r>
          </w:p>
        </w:tc>
        <w:tc>
          <w:tcPr>
            <w:tcW w:type="dxa" w:w="2280"/>
          </w:tcPr>
          <w:p>
            <w:r>
              <w:t>21/05/2026</w:t>
            </w:r>
          </w:p>
        </w:tc>
        <w:tc>
          <w:tcPr>
            <w:tcW w:type="dxa" w:w="2280"/>
          </w:tcPr>
          <w:p>
            <w:r>
              <w:t>Equipo Ferragro</w:t>
            </w:r>
          </w:p>
        </w:tc>
        <w:tc>
          <w:tcPr>
            <w:tcW w:type="dxa" w:w="2280"/>
          </w:tcPr>
          <w:p>
            <w:r>
              <w:t>Bodegas obligatorias en citas, franjas por bodega, citas_create con IdBodega, índices 015.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