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2BDB" w:rsidRPr="00592BDB" w:rsidRDefault="00592BDB" w:rsidP="00592BDB">
      <w:pPr>
        <w:jc w:val="center"/>
        <w:rPr>
          <w:rFonts w:ascii="Times New Roman"/>
          <w:b/>
        </w:rPr>
      </w:pPr>
      <w:r w:rsidRPr="00592BDB">
        <w:rPr>
          <w:rFonts w:ascii="Times New Roman"/>
          <w:b/>
        </w:rPr>
        <w:t>Feed Intake and liveweight gain of goats fed Urochloa grass</w:t>
      </w:r>
    </w:p>
    <w:p w:rsidR="00592BDB" w:rsidRPr="00002FE1" w:rsidRDefault="00592BDB" w:rsidP="00592BDB">
      <w:pPr>
        <w:jc w:val="center"/>
        <w:rPr>
          <w:rFonts w:ascii="Times New Roman"/>
          <w:bCs/>
        </w:rPr>
      </w:pPr>
    </w:p>
    <w:p w:rsidR="00592BDB" w:rsidRDefault="00592BDB" w:rsidP="00592BDB">
      <w:pPr>
        <w:jc w:val="center"/>
        <w:rPr>
          <w:rFonts w:ascii="Times New Roman" w:eastAsia="Calibri" w:hAnsi="Times New Roman" w:cs="Times New Roman"/>
          <w:vertAlign w:val="superscript"/>
          <w:lang w:val="en-GB"/>
        </w:rPr>
      </w:pPr>
      <w:r w:rsidRPr="00025853">
        <w:rPr>
          <w:rFonts w:ascii="Times New Roman"/>
          <w:bCs/>
          <w:lang w:val="fr-FR"/>
        </w:rPr>
        <w:t>Ngila, P. M</w:t>
      </w:r>
      <w:r w:rsidRPr="00122F61">
        <w:rPr>
          <w:rFonts w:ascii="Times New Roman"/>
          <w:bCs/>
          <w:vertAlign w:val="superscript"/>
          <w:lang w:val="fr-FR"/>
        </w:rPr>
        <w:t>*</w:t>
      </w:r>
      <w:r>
        <w:rPr>
          <w:rFonts w:ascii="Times New Roman"/>
          <w:bCs/>
          <w:lang w:val="fr-FR"/>
        </w:rPr>
        <w:t xml:space="preserve">, </w:t>
      </w:r>
      <w:proofErr w:type="spellStart"/>
      <w:r>
        <w:rPr>
          <w:rFonts w:ascii="Times New Roman"/>
          <w:bCs/>
          <w:lang w:val="fr-FR"/>
        </w:rPr>
        <w:t>Njarui</w:t>
      </w:r>
      <w:proofErr w:type="spellEnd"/>
      <w:r>
        <w:rPr>
          <w:rFonts w:ascii="Times New Roman"/>
          <w:bCs/>
          <w:lang w:val="fr-FR"/>
        </w:rPr>
        <w:t>, D.</w:t>
      </w:r>
      <w:r w:rsidR="00122F61">
        <w:rPr>
          <w:rFonts w:ascii="Times New Roman"/>
          <w:bCs/>
          <w:lang w:val="fr-FR"/>
        </w:rPr>
        <w:t>M.G</w:t>
      </w:r>
      <w:r w:rsidR="00122F61" w:rsidRPr="00122F61">
        <w:rPr>
          <w:rFonts w:ascii="Times New Roman" w:eastAsia="Calibri" w:hAnsi="Times New Roman" w:cs="Times New Roman"/>
          <w:lang w:val="en-GB"/>
        </w:rPr>
        <w:t xml:space="preserve"> </w:t>
      </w:r>
      <w:r w:rsidR="00122F61" w:rsidRPr="00122F61">
        <w:rPr>
          <w:rFonts w:ascii="Times New Roman" w:eastAsia="Calibri" w:hAnsi="Times New Roman" w:cs="Times New Roman"/>
          <w:vertAlign w:val="superscript"/>
          <w:lang w:val="en-GB"/>
        </w:rPr>
        <w:t>†</w:t>
      </w:r>
      <w:r w:rsidR="00122F61">
        <w:rPr>
          <w:rFonts w:ascii="Times New Roman" w:eastAsia="Calibri" w:hAnsi="Times New Roman" w:cs="Times New Roman"/>
          <w:lang w:val="en-GB"/>
        </w:rPr>
        <w:t xml:space="preserve">, </w:t>
      </w:r>
      <w:proofErr w:type="spellStart"/>
      <w:r w:rsidR="00122F61">
        <w:rPr>
          <w:rFonts w:ascii="Times New Roman" w:eastAsia="Calibri" w:hAnsi="Times New Roman" w:cs="Times New Roman"/>
          <w:lang w:val="en-GB"/>
        </w:rPr>
        <w:t>Njunie</w:t>
      </w:r>
      <w:proofErr w:type="spellEnd"/>
      <w:r w:rsidR="00122F61">
        <w:rPr>
          <w:rFonts w:ascii="Times New Roman" w:eastAsia="Calibri" w:hAnsi="Times New Roman" w:cs="Times New Roman"/>
          <w:lang w:val="en-GB"/>
        </w:rPr>
        <w:t>, M</w:t>
      </w:r>
      <w:r w:rsidR="00122F61" w:rsidRPr="00122F61">
        <w:rPr>
          <w:rFonts w:ascii="Times New Roman" w:eastAsia="Calibri" w:hAnsi="Times New Roman" w:cs="Times New Roman"/>
          <w:vertAlign w:val="superscript"/>
          <w:lang w:val="en-GB"/>
        </w:rPr>
        <w:t>†</w:t>
      </w:r>
    </w:p>
    <w:p w:rsidR="00EA7D2F" w:rsidRDefault="00122F61" w:rsidP="00EA7D2F">
      <w:pPr>
        <w:jc w:val="center"/>
        <w:rPr>
          <w:rFonts w:ascii="Times New Roman" w:eastAsia="Calibri" w:hAnsi="Times New Roman" w:cs="Times New Roman"/>
          <w:lang w:val="en-GB"/>
        </w:rPr>
      </w:pPr>
      <w:r>
        <w:rPr>
          <w:rFonts w:ascii="Times New Roman" w:eastAsia="Calibri" w:hAnsi="Times New Roman" w:cs="Times New Roman"/>
          <w:lang w:val="en-GB"/>
        </w:rPr>
        <w:t xml:space="preserve">*South Eastern Kenya University, Department of Agricultural Sciences, P.O. Box 170-90200, Kitui, Kenya; </w:t>
      </w:r>
      <w:r w:rsidRPr="00122F61">
        <w:rPr>
          <w:rFonts w:ascii="Times New Roman" w:eastAsia="Calibri" w:hAnsi="Times New Roman" w:cs="Times New Roman"/>
          <w:lang w:val="en-GB"/>
        </w:rPr>
        <w:t>†</w:t>
      </w:r>
      <w:r>
        <w:rPr>
          <w:rFonts w:ascii="Times New Roman" w:eastAsia="Calibri" w:hAnsi="Times New Roman" w:cs="Times New Roman"/>
          <w:lang w:val="en-GB"/>
        </w:rPr>
        <w:t xml:space="preserve">Kenya Agricultural and Research Organization </w:t>
      </w:r>
      <w:proofErr w:type="spellStart"/>
      <w:r>
        <w:rPr>
          <w:rFonts w:ascii="Times New Roman" w:eastAsia="Calibri" w:hAnsi="Times New Roman" w:cs="Times New Roman"/>
          <w:lang w:val="en-GB"/>
        </w:rPr>
        <w:t>Katumani</w:t>
      </w:r>
      <w:proofErr w:type="spellEnd"/>
      <w:r>
        <w:rPr>
          <w:rFonts w:ascii="Times New Roman" w:eastAsia="Calibri" w:hAnsi="Times New Roman" w:cs="Times New Roman"/>
          <w:lang w:val="en-GB"/>
        </w:rPr>
        <w:t xml:space="preserve">, P.O. </w:t>
      </w:r>
      <w:r w:rsidR="00EA7D2F">
        <w:rPr>
          <w:rFonts w:ascii="Times New Roman" w:eastAsia="Calibri" w:hAnsi="Times New Roman" w:cs="Times New Roman"/>
          <w:lang w:val="en-GB"/>
        </w:rPr>
        <w:t xml:space="preserve">Box </w:t>
      </w:r>
      <w:r>
        <w:rPr>
          <w:rFonts w:ascii="Times New Roman" w:eastAsia="Calibri" w:hAnsi="Times New Roman" w:cs="Times New Roman"/>
          <w:lang w:val="en-GB"/>
        </w:rPr>
        <w:t>340-90100, Machakos, Kenya</w:t>
      </w:r>
      <w:r w:rsidR="00EA7D2F">
        <w:rPr>
          <w:rFonts w:ascii="Times New Roman" w:eastAsia="Calibri" w:hAnsi="Times New Roman" w:cs="Times New Roman"/>
          <w:lang w:val="en-GB"/>
        </w:rPr>
        <w:t xml:space="preserve">; Kenya Agricultural and Research Organization </w:t>
      </w:r>
      <w:proofErr w:type="spellStart"/>
      <w:r w:rsidR="00EA7D2F">
        <w:rPr>
          <w:rFonts w:ascii="Times New Roman" w:eastAsia="Calibri" w:hAnsi="Times New Roman" w:cs="Times New Roman"/>
          <w:lang w:val="en-GB"/>
        </w:rPr>
        <w:t>Matuga</w:t>
      </w:r>
      <w:proofErr w:type="spellEnd"/>
      <w:r w:rsidR="00EA7D2F">
        <w:rPr>
          <w:rFonts w:ascii="Times New Roman" w:eastAsia="Calibri" w:hAnsi="Times New Roman" w:cs="Times New Roman"/>
          <w:lang w:val="en-GB"/>
        </w:rPr>
        <w:t xml:space="preserve">, P.O. Box 4 </w:t>
      </w:r>
      <w:proofErr w:type="spellStart"/>
      <w:r w:rsidR="00EA7D2F">
        <w:rPr>
          <w:rFonts w:ascii="Times New Roman" w:eastAsia="Calibri" w:hAnsi="Times New Roman" w:cs="Times New Roman"/>
          <w:lang w:val="en-GB"/>
        </w:rPr>
        <w:t>Matuga</w:t>
      </w:r>
      <w:proofErr w:type="spellEnd"/>
      <w:r w:rsidR="00EA7D2F">
        <w:rPr>
          <w:rFonts w:ascii="Times New Roman" w:eastAsia="Calibri" w:hAnsi="Times New Roman" w:cs="Times New Roman"/>
          <w:lang w:val="en-GB"/>
        </w:rPr>
        <w:t xml:space="preserve">, </w:t>
      </w:r>
      <w:proofErr w:type="spellStart"/>
      <w:r w:rsidR="00EA7D2F">
        <w:rPr>
          <w:rFonts w:ascii="Times New Roman" w:eastAsia="Calibri" w:hAnsi="Times New Roman" w:cs="Times New Roman"/>
          <w:lang w:val="en-GB"/>
        </w:rPr>
        <w:t>KEnya</w:t>
      </w:r>
      <w:proofErr w:type="spellEnd"/>
    </w:p>
    <w:p w:rsidR="00C8783A" w:rsidRDefault="00C8783A" w:rsidP="00592BDB">
      <w:pPr>
        <w:jc w:val="center"/>
        <w:rPr>
          <w:rFonts w:ascii="Times New Roman" w:eastAsia="Calibri" w:hAnsi="Times New Roman" w:cs="Times New Roman"/>
          <w:lang w:val="en-GB"/>
        </w:rPr>
      </w:pPr>
    </w:p>
    <w:p w:rsidR="00C8783A" w:rsidRPr="00122F61" w:rsidRDefault="00C8783A" w:rsidP="00C8783A">
      <w:pPr>
        <w:rPr>
          <w:rFonts w:ascii="Times New Roman"/>
          <w:bCs/>
          <w:lang w:val="fr-FR"/>
        </w:rPr>
      </w:pPr>
      <w:r>
        <w:rPr>
          <w:rFonts w:ascii="Times New Roman"/>
          <w:b/>
          <w:sz w:val="24"/>
          <w:szCs w:val="24"/>
        </w:rPr>
        <w:t>Keywords</w:t>
      </w:r>
      <w:r>
        <w:rPr>
          <w:rFonts w:ascii="Times New Roman"/>
          <w:sz w:val="24"/>
          <w:szCs w:val="24"/>
        </w:rPr>
        <w:t>:</w:t>
      </w:r>
      <w:r w:rsidR="00EA7D2F">
        <w:rPr>
          <w:rFonts w:ascii="Times New Roman"/>
          <w:sz w:val="24"/>
          <w:szCs w:val="24"/>
        </w:rPr>
        <w:t xml:space="preserve"> </w:t>
      </w:r>
      <w:r>
        <w:rPr>
          <w:rFonts w:ascii="Times New Roman"/>
          <w:sz w:val="24"/>
          <w:szCs w:val="24"/>
        </w:rPr>
        <w:t xml:space="preserve">crude protein; feed intake; Regression analysis;  </w:t>
      </w:r>
      <w:proofErr w:type="spellStart"/>
      <w:r>
        <w:rPr>
          <w:rFonts w:ascii="Times New Roman"/>
          <w:sz w:val="24"/>
          <w:szCs w:val="24"/>
        </w:rPr>
        <w:t>galla</w:t>
      </w:r>
      <w:proofErr w:type="spellEnd"/>
      <w:r>
        <w:rPr>
          <w:rFonts w:ascii="Times New Roman"/>
          <w:sz w:val="24"/>
          <w:szCs w:val="24"/>
        </w:rPr>
        <w:t xml:space="preserve"> goats  </w:t>
      </w:r>
    </w:p>
    <w:p w:rsidR="00592BDB" w:rsidRPr="001A5F4D" w:rsidRDefault="00592BDB" w:rsidP="00C8783A">
      <w:pPr>
        <w:rPr>
          <w:rFonts w:ascii="Times New Roman"/>
          <w:b/>
          <w:color w:val="000000"/>
          <w:sz w:val="24"/>
          <w:szCs w:val="24"/>
          <w:lang w:val="fr-FR"/>
        </w:rPr>
      </w:pPr>
      <w:r w:rsidRPr="001A5F4D">
        <w:rPr>
          <w:rFonts w:ascii="Times New Roman"/>
          <w:b/>
          <w:sz w:val="24"/>
          <w:szCs w:val="24"/>
          <w:lang w:val="fr-FR"/>
        </w:rPr>
        <w:t>Abstract</w:t>
      </w:r>
    </w:p>
    <w:p w:rsidR="009140F3" w:rsidRDefault="00592BDB" w:rsidP="00C8783A">
      <w:pPr>
        <w:jc w:val="both"/>
        <w:rPr>
          <w:rFonts w:ascii="Times New Roman"/>
        </w:rPr>
      </w:pPr>
      <w:r w:rsidRPr="00EA7D2F">
        <w:rPr>
          <w:rFonts w:ascii="Times New Roman"/>
        </w:rPr>
        <w:t xml:space="preserve">Crude protein and digestible dry matter are the most important components of a feed and determine animal performance. The natural pastures in Kenya are prone to great seasonal and spatial fluctuation in both quality and quantity. Consequently, there was need to explore other nutritious alternative feeds. Sixteen growing male </w:t>
      </w:r>
      <w:proofErr w:type="spellStart"/>
      <w:r w:rsidRPr="00EA7D2F">
        <w:rPr>
          <w:rFonts w:ascii="Times New Roman"/>
        </w:rPr>
        <w:t>Galla</w:t>
      </w:r>
      <w:proofErr w:type="spellEnd"/>
      <w:r w:rsidRPr="00EA7D2F">
        <w:rPr>
          <w:rFonts w:ascii="Times New Roman"/>
        </w:rPr>
        <w:t xml:space="preserve"> goats weighing 10 - 24 kg were used in a twelve weeks feeding trial in the coastal lowlands of Kenya. They were randomly allocated four grass diets consisting of </w:t>
      </w:r>
      <w:r w:rsidRPr="00EA7D2F">
        <w:rPr>
          <w:rFonts w:ascii="Times New Roman"/>
          <w:i/>
        </w:rPr>
        <w:t xml:space="preserve">Urochloa </w:t>
      </w:r>
      <w:proofErr w:type="spellStart"/>
      <w:r w:rsidRPr="00EA7D2F">
        <w:rPr>
          <w:rFonts w:ascii="Times New Roman"/>
          <w:i/>
        </w:rPr>
        <w:t>brizantha</w:t>
      </w:r>
      <w:proofErr w:type="spellEnd"/>
      <w:r w:rsidRPr="00EA7D2F">
        <w:rPr>
          <w:rFonts w:ascii="Times New Roman"/>
        </w:rPr>
        <w:t xml:space="preserve"> </w:t>
      </w:r>
      <w:proofErr w:type="spellStart"/>
      <w:r w:rsidRPr="00EA7D2F">
        <w:rPr>
          <w:rFonts w:ascii="Times New Roman"/>
        </w:rPr>
        <w:t>cvs</w:t>
      </w:r>
      <w:proofErr w:type="spellEnd"/>
      <w:r w:rsidRPr="00EA7D2F">
        <w:rPr>
          <w:rFonts w:ascii="Times New Roman"/>
        </w:rPr>
        <w:t xml:space="preserve">. </w:t>
      </w:r>
      <w:proofErr w:type="spellStart"/>
      <w:r w:rsidRPr="00EA7D2F">
        <w:rPr>
          <w:rFonts w:ascii="Times New Roman"/>
        </w:rPr>
        <w:t>Piata</w:t>
      </w:r>
      <w:proofErr w:type="spellEnd"/>
      <w:r w:rsidRPr="00EA7D2F">
        <w:rPr>
          <w:rFonts w:ascii="Times New Roman"/>
        </w:rPr>
        <w:t xml:space="preserve"> and MG4, </w:t>
      </w:r>
      <w:r w:rsidRPr="00EA7D2F">
        <w:rPr>
          <w:rFonts w:ascii="Times New Roman"/>
          <w:i/>
        </w:rPr>
        <w:t>U. hybrid</w:t>
      </w:r>
      <w:r w:rsidRPr="00EA7D2F">
        <w:rPr>
          <w:rFonts w:ascii="Times New Roman"/>
        </w:rPr>
        <w:t xml:space="preserve"> cv. </w:t>
      </w:r>
      <w:proofErr w:type="spellStart"/>
      <w:r w:rsidRPr="00EA7D2F">
        <w:rPr>
          <w:rFonts w:ascii="Times New Roman"/>
        </w:rPr>
        <w:t>Mulato</w:t>
      </w:r>
      <w:proofErr w:type="spellEnd"/>
      <w:r w:rsidRPr="00EA7D2F">
        <w:rPr>
          <w:rFonts w:ascii="Times New Roman"/>
        </w:rPr>
        <w:t xml:space="preserve"> II and </w:t>
      </w:r>
      <w:r w:rsidRPr="00EA7D2F">
        <w:rPr>
          <w:rFonts w:ascii="Times New Roman"/>
          <w:i/>
        </w:rPr>
        <w:t xml:space="preserve">Chloris </w:t>
      </w:r>
      <w:proofErr w:type="spellStart"/>
      <w:r w:rsidRPr="00EA7D2F">
        <w:rPr>
          <w:rFonts w:ascii="Times New Roman"/>
          <w:i/>
        </w:rPr>
        <w:t>gayana</w:t>
      </w:r>
      <w:proofErr w:type="spellEnd"/>
      <w:r w:rsidRPr="00EA7D2F">
        <w:rPr>
          <w:rFonts w:ascii="Times New Roman"/>
        </w:rPr>
        <w:t xml:space="preserve"> (Rhodes grass), which was used as the control. Regression analysis was conducted using feed intake and daily weight gains as dependent variables against nutrient intake (dry matter, crude protein, acid detergent fiber, acid detergent lignin, neutral detergent fiber and ash). The results showed that feed intake of the goats was </w:t>
      </w:r>
      <w:r w:rsidR="00EA7D2F" w:rsidRPr="00EA7D2F">
        <w:rPr>
          <w:rFonts w:ascii="Times New Roman"/>
        </w:rPr>
        <w:t>strongly</w:t>
      </w:r>
      <w:r w:rsidRPr="00EA7D2F">
        <w:rPr>
          <w:rFonts w:ascii="Times New Roman"/>
        </w:rPr>
        <w:t xml:space="preserve"> influenced by digestibility of all nutrients (R</w:t>
      </w:r>
      <w:r w:rsidRPr="00EA7D2F">
        <w:rPr>
          <w:rFonts w:ascii="Times New Roman"/>
          <w:vertAlign w:val="superscript"/>
        </w:rPr>
        <w:t>2</w:t>
      </w:r>
      <w:r w:rsidRPr="00EA7D2F">
        <w:rPr>
          <w:rFonts w:ascii="Times New Roman"/>
        </w:rPr>
        <w:t xml:space="preserve"> = 0.94, P = &lt;0.001). Average daily gain (ADG) of the goats was best defined by the intake of all nutrients (</w:t>
      </w:r>
      <w:r w:rsidRPr="00EA7D2F">
        <w:rPr>
          <w:rFonts w:ascii="Times New Roman"/>
          <w:color w:val="000000"/>
        </w:rPr>
        <w:t>R</w:t>
      </w:r>
      <w:r w:rsidRPr="00EA7D2F">
        <w:rPr>
          <w:rFonts w:ascii="Times New Roman"/>
          <w:color w:val="000000"/>
          <w:vertAlign w:val="superscript"/>
        </w:rPr>
        <w:t>2</w:t>
      </w:r>
      <w:r w:rsidRPr="00EA7D2F">
        <w:rPr>
          <w:rFonts w:ascii="Times New Roman"/>
        </w:rPr>
        <w:t xml:space="preserve"> = 0.84, P &lt; 0.0002). Crude protein intake gave a better prediction of daily gain (R</w:t>
      </w:r>
      <w:r w:rsidRPr="00EA7D2F">
        <w:rPr>
          <w:rFonts w:ascii="Times New Roman"/>
          <w:vertAlign w:val="superscript"/>
        </w:rPr>
        <w:t>2</w:t>
      </w:r>
      <w:r w:rsidRPr="00EA7D2F">
        <w:rPr>
          <w:rFonts w:ascii="Times New Roman"/>
        </w:rPr>
        <w:t xml:space="preserve"> = 0.89, P &lt; 0.001) than dry matter digestibility and dry organic matter digestibility (R</w:t>
      </w:r>
      <w:r w:rsidRPr="00EA7D2F">
        <w:rPr>
          <w:rFonts w:ascii="Times New Roman"/>
          <w:vertAlign w:val="superscript"/>
        </w:rPr>
        <w:t>2</w:t>
      </w:r>
      <w:r w:rsidRPr="00EA7D2F">
        <w:rPr>
          <w:rFonts w:ascii="Times New Roman"/>
        </w:rPr>
        <w:t xml:space="preserve"> = 0.42, P &lt; 0.03). Grass diet with high CP and digestibility values are most suitable for high ADG of </w:t>
      </w:r>
      <w:proofErr w:type="spellStart"/>
      <w:r w:rsidRPr="00EA7D2F">
        <w:rPr>
          <w:rFonts w:ascii="Times New Roman"/>
        </w:rPr>
        <w:t>Galla</w:t>
      </w:r>
      <w:proofErr w:type="spellEnd"/>
      <w:r w:rsidRPr="00EA7D2F">
        <w:rPr>
          <w:rFonts w:ascii="Times New Roman"/>
        </w:rPr>
        <w:t xml:space="preserve"> goats</w:t>
      </w:r>
      <w:r w:rsidR="00EA7D2F" w:rsidRPr="00EA7D2F">
        <w:rPr>
          <w:rFonts w:ascii="Times New Roman"/>
        </w:rPr>
        <w:t>.</w:t>
      </w:r>
    </w:p>
    <w:p w:rsidR="00BC7D07" w:rsidRPr="00EA7D2F" w:rsidRDefault="00BC7D07" w:rsidP="00C8783A">
      <w:pPr>
        <w:jc w:val="both"/>
        <w:rPr>
          <w:rFonts w:ascii="Times New Roman"/>
        </w:rPr>
      </w:pPr>
    </w:p>
    <w:p w:rsidR="009140F3" w:rsidRPr="001A5F4D" w:rsidRDefault="009140F3" w:rsidP="004D40C4">
      <w:pPr>
        <w:rPr>
          <w:rFonts w:ascii="Times New Roman" w:hAnsi="Times New Roman" w:cs="Times New Roman"/>
          <w:b/>
          <w:bCs/>
          <w:sz w:val="24"/>
          <w:szCs w:val="24"/>
        </w:rPr>
      </w:pPr>
      <w:r w:rsidRPr="001A5F4D">
        <w:rPr>
          <w:rFonts w:ascii="Times New Roman" w:hAnsi="Times New Roman" w:cs="Times New Roman"/>
          <w:b/>
          <w:bCs/>
          <w:sz w:val="24"/>
          <w:szCs w:val="24"/>
        </w:rPr>
        <w:t>Introduction</w:t>
      </w:r>
    </w:p>
    <w:p w:rsidR="009140F3" w:rsidRPr="004D40C4" w:rsidRDefault="009140F3" w:rsidP="002D3297">
      <w:pPr>
        <w:jc w:val="both"/>
        <w:rPr>
          <w:rFonts w:ascii="Times New Roman" w:hAnsi="Times New Roman" w:cs="Times New Roman"/>
        </w:rPr>
      </w:pPr>
      <w:r w:rsidRPr="004D40C4">
        <w:rPr>
          <w:rFonts w:ascii="Times New Roman" w:hAnsi="Times New Roman" w:cs="Times New Roman"/>
        </w:rPr>
        <w:t>The traditional pasture-based livestock systems in the arid and semi</w:t>
      </w:r>
      <w:r w:rsidR="00C03E91" w:rsidRPr="004D40C4">
        <w:rPr>
          <w:rFonts w:ascii="Times New Roman" w:hAnsi="Times New Roman" w:cs="Times New Roman"/>
        </w:rPr>
        <w:t>-</w:t>
      </w:r>
      <w:r w:rsidRPr="004D40C4">
        <w:rPr>
          <w:rFonts w:ascii="Times New Roman" w:hAnsi="Times New Roman" w:cs="Times New Roman"/>
        </w:rPr>
        <w:t xml:space="preserve">arid regions of </w:t>
      </w:r>
      <w:r w:rsidR="00BC7D07">
        <w:rPr>
          <w:rFonts w:ascii="Times New Roman" w:hAnsi="Times New Roman" w:cs="Times New Roman"/>
        </w:rPr>
        <w:t>sub Saharan Africa (SSA)</w:t>
      </w:r>
      <w:r w:rsidRPr="004D40C4">
        <w:rPr>
          <w:rFonts w:ascii="Times New Roman" w:hAnsi="Times New Roman" w:cs="Times New Roman"/>
        </w:rPr>
        <w:t xml:space="preserve"> </w:t>
      </w:r>
      <w:r w:rsidR="001A5F4D">
        <w:rPr>
          <w:rFonts w:ascii="Times New Roman" w:hAnsi="Times New Roman" w:cs="Times New Roman"/>
        </w:rPr>
        <w:t>have i</w:t>
      </w:r>
      <w:r w:rsidR="000856DC" w:rsidRPr="004D40C4">
        <w:rPr>
          <w:rFonts w:ascii="Times New Roman" w:hAnsi="Times New Roman" w:cs="Times New Roman"/>
        </w:rPr>
        <w:t xml:space="preserve">n all occasions </w:t>
      </w:r>
      <w:r w:rsidR="001A5F4D">
        <w:rPr>
          <w:rFonts w:ascii="Times New Roman" w:hAnsi="Times New Roman" w:cs="Times New Roman"/>
        </w:rPr>
        <w:t xml:space="preserve">been </w:t>
      </w:r>
      <w:r w:rsidR="000856DC" w:rsidRPr="004D40C4">
        <w:rPr>
          <w:rFonts w:ascii="Times New Roman" w:hAnsi="Times New Roman" w:cs="Times New Roman"/>
        </w:rPr>
        <w:t xml:space="preserve">prone </w:t>
      </w:r>
      <w:r w:rsidRPr="004D40C4">
        <w:rPr>
          <w:rFonts w:ascii="Times New Roman" w:hAnsi="Times New Roman" w:cs="Times New Roman"/>
        </w:rPr>
        <w:t xml:space="preserve">to </w:t>
      </w:r>
      <w:r w:rsidR="000856DC" w:rsidRPr="004D40C4">
        <w:rPr>
          <w:rFonts w:ascii="Times New Roman" w:hAnsi="Times New Roman" w:cs="Times New Roman"/>
        </w:rPr>
        <w:t>great</w:t>
      </w:r>
      <w:r w:rsidRPr="004D40C4">
        <w:rPr>
          <w:rFonts w:ascii="Times New Roman" w:hAnsi="Times New Roman" w:cs="Times New Roman"/>
        </w:rPr>
        <w:t xml:space="preserve"> seasonal and spatial fluctuation in </w:t>
      </w:r>
      <w:r w:rsidR="000856DC" w:rsidRPr="004D40C4">
        <w:rPr>
          <w:rFonts w:ascii="Times New Roman" w:hAnsi="Times New Roman" w:cs="Times New Roman"/>
        </w:rPr>
        <w:t>pasture</w:t>
      </w:r>
      <w:r w:rsidRPr="004D40C4">
        <w:rPr>
          <w:rFonts w:ascii="Times New Roman" w:hAnsi="Times New Roman" w:cs="Times New Roman"/>
        </w:rPr>
        <w:t xml:space="preserve"> </w:t>
      </w:r>
      <w:r w:rsidR="000856DC" w:rsidRPr="004D40C4">
        <w:rPr>
          <w:rFonts w:ascii="Times New Roman" w:hAnsi="Times New Roman" w:cs="Times New Roman"/>
        </w:rPr>
        <w:t xml:space="preserve">quantity </w:t>
      </w:r>
      <w:r w:rsidRPr="004D40C4">
        <w:rPr>
          <w:rFonts w:ascii="Times New Roman" w:hAnsi="Times New Roman" w:cs="Times New Roman"/>
        </w:rPr>
        <w:t>and quality (</w:t>
      </w:r>
      <w:proofErr w:type="spellStart"/>
      <w:r w:rsidRPr="004D40C4">
        <w:rPr>
          <w:rFonts w:ascii="Times New Roman" w:hAnsi="Times New Roman" w:cs="Times New Roman"/>
        </w:rPr>
        <w:t>Bezabih</w:t>
      </w:r>
      <w:proofErr w:type="spellEnd"/>
      <w:r w:rsidRPr="004D40C4">
        <w:rPr>
          <w:rFonts w:ascii="Times New Roman" w:hAnsi="Times New Roman" w:cs="Times New Roman"/>
        </w:rPr>
        <w:t xml:space="preserve"> et al., 2014; </w:t>
      </w:r>
      <w:proofErr w:type="spellStart"/>
      <w:r w:rsidRPr="004D40C4">
        <w:rPr>
          <w:rFonts w:ascii="Times New Roman" w:hAnsi="Times New Roman" w:cs="Times New Roman"/>
        </w:rPr>
        <w:t>Ouedraogo</w:t>
      </w:r>
      <w:proofErr w:type="spellEnd"/>
      <w:r w:rsidRPr="004D40C4">
        <w:rPr>
          <w:rFonts w:ascii="Times New Roman" w:hAnsi="Times New Roman" w:cs="Times New Roman"/>
        </w:rPr>
        <w:t xml:space="preserve">-Kone et al., 2006). </w:t>
      </w:r>
      <w:r w:rsidR="000856DC" w:rsidRPr="004D40C4">
        <w:rPr>
          <w:rFonts w:ascii="Times New Roman" w:hAnsi="Times New Roman" w:cs="Times New Roman"/>
        </w:rPr>
        <w:t>T</w:t>
      </w:r>
      <w:r w:rsidRPr="004D40C4">
        <w:rPr>
          <w:rFonts w:ascii="Times New Roman" w:hAnsi="Times New Roman" w:cs="Times New Roman"/>
        </w:rPr>
        <w:t>herefore</w:t>
      </w:r>
      <w:r w:rsidR="000856DC" w:rsidRPr="004D40C4">
        <w:rPr>
          <w:rFonts w:ascii="Times New Roman" w:hAnsi="Times New Roman" w:cs="Times New Roman"/>
        </w:rPr>
        <w:t>, they are especially</w:t>
      </w:r>
      <w:r w:rsidRPr="004D40C4">
        <w:rPr>
          <w:rFonts w:ascii="Times New Roman" w:hAnsi="Times New Roman" w:cs="Times New Roman"/>
        </w:rPr>
        <w:t xml:space="preserve"> susceptible to increasing varia</w:t>
      </w:r>
      <w:r w:rsidR="000856DC" w:rsidRPr="004D40C4">
        <w:rPr>
          <w:rFonts w:ascii="Times New Roman" w:hAnsi="Times New Roman" w:cs="Times New Roman"/>
        </w:rPr>
        <w:t xml:space="preserve">nt </w:t>
      </w:r>
      <w:r w:rsidRPr="004D40C4">
        <w:rPr>
          <w:rFonts w:ascii="Times New Roman" w:hAnsi="Times New Roman" w:cs="Times New Roman"/>
        </w:rPr>
        <w:t xml:space="preserve">and </w:t>
      </w:r>
      <w:r w:rsidR="000856DC" w:rsidRPr="004D40C4">
        <w:rPr>
          <w:rFonts w:ascii="Times New Roman" w:hAnsi="Times New Roman" w:cs="Times New Roman"/>
        </w:rPr>
        <w:t>un</w:t>
      </w:r>
      <w:r w:rsidRPr="004D40C4">
        <w:rPr>
          <w:rFonts w:ascii="Times New Roman" w:hAnsi="Times New Roman" w:cs="Times New Roman"/>
        </w:rPr>
        <w:t>predicted change of climate (Herrero et al., 2016). Reduced pr</w:t>
      </w:r>
      <w:r w:rsidR="00C03E91" w:rsidRPr="004D40C4">
        <w:rPr>
          <w:rFonts w:ascii="Times New Roman" w:hAnsi="Times New Roman" w:cs="Times New Roman"/>
        </w:rPr>
        <w:t>e</w:t>
      </w:r>
      <w:r w:rsidRPr="004D40C4">
        <w:rPr>
          <w:rFonts w:ascii="Times New Roman" w:hAnsi="Times New Roman" w:cs="Times New Roman"/>
        </w:rPr>
        <w:t xml:space="preserve">cipitation and increased incidence of droughts limit the primary production of rangelands and locally increase the risk of over- grazing and pasture degradation, resulting in food insecurity and resource conflicts (FAO, 2009). </w:t>
      </w:r>
      <w:r w:rsidR="00C03E91" w:rsidRPr="004D40C4">
        <w:rPr>
          <w:rFonts w:ascii="Times New Roman" w:hAnsi="Times New Roman" w:cs="Times New Roman"/>
        </w:rPr>
        <w:t>In the ruminant industry, feed costs can contribute up to 70% of the total production costs</w:t>
      </w:r>
      <w:r w:rsidR="00342049" w:rsidRPr="004D40C4">
        <w:rPr>
          <w:rFonts w:ascii="Times New Roman" w:hAnsi="Times New Roman" w:cs="Times New Roman"/>
        </w:rPr>
        <w:t xml:space="preserve"> (Ngila et al., 2016)</w:t>
      </w:r>
      <w:r w:rsidR="00C03E91" w:rsidRPr="004D40C4">
        <w:rPr>
          <w:rFonts w:ascii="Times New Roman" w:hAnsi="Times New Roman" w:cs="Times New Roman"/>
        </w:rPr>
        <w:t>, therefore improving the efficiency of feed conversion into milk or meat can have a significant impact on the profitability of a ruminant enterprise (Bach, 2012).</w:t>
      </w:r>
      <w:r w:rsidR="001A5F4D">
        <w:rPr>
          <w:rFonts w:ascii="Times New Roman" w:hAnsi="Times New Roman" w:cs="Times New Roman"/>
        </w:rPr>
        <w:t xml:space="preserve"> Nutritive value is defined as the chemical composition, digestibility and </w:t>
      </w:r>
      <w:r w:rsidR="00E96495">
        <w:rPr>
          <w:rFonts w:ascii="Times New Roman" w:hAnsi="Times New Roman" w:cs="Times New Roman"/>
        </w:rPr>
        <w:t xml:space="preserve">nature of digested products of forage (Mott and Moore, 1985; </w:t>
      </w:r>
      <w:proofErr w:type="spellStart"/>
      <w:r w:rsidR="00E96495">
        <w:rPr>
          <w:rFonts w:ascii="Times New Roman" w:hAnsi="Times New Roman" w:cs="Times New Roman"/>
        </w:rPr>
        <w:t>Sollenberger</w:t>
      </w:r>
      <w:proofErr w:type="spellEnd"/>
      <w:r w:rsidR="00E96495">
        <w:rPr>
          <w:rFonts w:ascii="Times New Roman" w:hAnsi="Times New Roman" w:cs="Times New Roman"/>
        </w:rPr>
        <w:t xml:space="preserve"> and Vanzant, 2011) and is often expressed using crude protein (CP), in vitro dry matter digestibility (INVDMD), neutral detergent fiber (NDF), Acid detergent fiber (ADF) and/or lignin concentrations.</w:t>
      </w:r>
    </w:p>
    <w:p w:rsidR="0064009D" w:rsidRPr="004D40C4" w:rsidRDefault="0051136E" w:rsidP="002D3297">
      <w:pPr>
        <w:jc w:val="both"/>
        <w:rPr>
          <w:rFonts w:ascii="Times New Roman" w:hAnsi="Times New Roman" w:cs="Times New Roman"/>
        </w:rPr>
      </w:pPr>
      <w:r w:rsidRPr="004D40C4">
        <w:rPr>
          <w:rFonts w:ascii="Times New Roman" w:hAnsi="Times New Roman" w:cs="Times New Roman"/>
        </w:rPr>
        <w:t xml:space="preserve">According to Coleman and Moore (2003), when feed is offered alone and of free choice to animals having production potential, feed quality may be defined in terms of animal performance (e.g. daily gain). </w:t>
      </w:r>
      <w:r w:rsidR="00064032" w:rsidRPr="004D40C4">
        <w:rPr>
          <w:rFonts w:ascii="Times New Roman" w:hAnsi="Times New Roman" w:cs="Times New Roman"/>
        </w:rPr>
        <w:t>Crude protein (CP) and digestible dry matter (DDM) are the most important component of a feed (Ngila</w:t>
      </w:r>
      <w:r w:rsidRPr="004D40C4">
        <w:rPr>
          <w:rFonts w:ascii="Times New Roman" w:hAnsi="Times New Roman" w:cs="Times New Roman"/>
        </w:rPr>
        <w:t xml:space="preserve"> et al</w:t>
      </w:r>
      <w:r w:rsidR="00064032" w:rsidRPr="004D40C4">
        <w:rPr>
          <w:rFonts w:ascii="Times New Roman" w:hAnsi="Times New Roman" w:cs="Times New Roman"/>
        </w:rPr>
        <w:t>, 2016)</w:t>
      </w:r>
      <w:r w:rsidRPr="004D40C4">
        <w:rPr>
          <w:rFonts w:ascii="Times New Roman" w:hAnsi="Times New Roman" w:cs="Times New Roman"/>
        </w:rPr>
        <w:t xml:space="preserve">. </w:t>
      </w:r>
      <w:r w:rsidR="0064009D" w:rsidRPr="004D40C4">
        <w:rPr>
          <w:rFonts w:ascii="Times New Roman" w:eastAsia="Times New Roman" w:hAnsi="Times New Roman" w:cs="Times New Roman"/>
        </w:rPr>
        <w:t xml:space="preserve">Tropical grasses are rarely available as a balanced diet for grazing cattle because they exhibit </w:t>
      </w:r>
      <w:r w:rsidR="0064009D" w:rsidRPr="004D40C4">
        <w:rPr>
          <w:rFonts w:ascii="Times New Roman" w:eastAsia="Times New Roman" w:hAnsi="Times New Roman" w:cs="Times New Roman"/>
        </w:rPr>
        <w:lastRenderedPageBreak/>
        <w:t>nutritional constraints that limit pasture intake and digestibility</w:t>
      </w:r>
      <w:r w:rsidRPr="004D40C4">
        <w:rPr>
          <w:rFonts w:ascii="Times New Roman" w:eastAsia="Times New Roman" w:hAnsi="Times New Roman" w:cs="Times New Roman"/>
        </w:rPr>
        <w:t xml:space="preserve"> (</w:t>
      </w:r>
      <w:proofErr w:type="spellStart"/>
      <w:r w:rsidRPr="004D40C4">
        <w:rPr>
          <w:rFonts w:ascii="Times New Roman" w:eastAsia="Times New Roman" w:hAnsi="Times New Roman" w:cs="Times New Roman"/>
        </w:rPr>
        <w:t>Detmann</w:t>
      </w:r>
      <w:proofErr w:type="spellEnd"/>
      <w:r w:rsidRPr="004D40C4">
        <w:rPr>
          <w:rFonts w:ascii="Times New Roman" w:eastAsia="Times New Roman" w:hAnsi="Times New Roman" w:cs="Times New Roman"/>
        </w:rPr>
        <w:t xml:space="preserve"> et al., 2014)</w:t>
      </w:r>
      <w:r w:rsidR="0064009D" w:rsidRPr="004D40C4">
        <w:rPr>
          <w:rFonts w:ascii="Times New Roman" w:eastAsia="Times New Roman" w:hAnsi="Times New Roman" w:cs="Times New Roman"/>
        </w:rPr>
        <w:t>.</w:t>
      </w:r>
      <w:r w:rsidR="0088239C" w:rsidRPr="004D40C4">
        <w:rPr>
          <w:rFonts w:ascii="Times New Roman" w:hAnsi="Times New Roman" w:cs="Times New Roman"/>
        </w:rPr>
        <w:t xml:space="preserve"> </w:t>
      </w:r>
      <w:r w:rsidR="0064009D" w:rsidRPr="004D40C4">
        <w:rPr>
          <w:rFonts w:ascii="Times New Roman" w:eastAsia="Times New Roman" w:hAnsi="Times New Roman" w:cs="Times New Roman"/>
        </w:rPr>
        <w:t>During the dry season, there is a drastic decrease in the nutritional quality of tropical grasses, as mainly indicated by decreased crude protein (CP) content. The limited CP availability has been recognised as the critical threshold</w:t>
      </w:r>
      <w:r w:rsidRPr="004D40C4">
        <w:rPr>
          <w:rFonts w:ascii="Times New Roman" w:eastAsia="Times New Roman" w:hAnsi="Times New Roman" w:cs="Times New Roman"/>
        </w:rPr>
        <w:t xml:space="preserve"> </w:t>
      </w:r>
      <w:r w:rsidR="0064009D" w:rsidRPr="004D40C4">
        <w:rPr>
          <w:rFonts w:ascii="Times New Roman" w:eastAsia="Times New Roman" w:hAnsi="Times New Roman" w:cs="Times New Roman"/>
        </w:rPr>
        <w:t xml:space="preserve">for adequate microbial growth on the fibrous carbohydrates in basal forage (Hennessy et al., 1983; </w:t>
      </w:r>
      <w:proofErr w:type="spellStart"/>
      <w:r w:rsidR="0064009D" w:rsidRPr="004D40C4">
        <w:rPr>
          <w:rFonts w:ascii="Times New Roman" w:eastAsia="Times New Roman" w:hAnsi="Times New Roman" w:cs="Times New Roman"/>
        </w:rPr>
        <w:t>Leng</w:t>
      </w:r>
      <w:proofErr w:type="spellEnd"/>
      <w:r w:rsidR="0064009D" w:rsidRPr="004D40C4">
        <w:rPr>
          <w:rFonts w:ascii="Times New Roman" w:eastAsia="Times New Roman" w:hAnsi="Times New Roman" w:cs="Times New Roman"/>
        </w:rPr>
        <w:t xml:space="preserve">, 1990), which results in decreased intake and </w:t>
      </w:r>
      <w:r w:rsidR="0088239C" w:rsidRPr="004D40C4">
        <w:rPr>
          <w:rFonts w:ascii="Times New Roman" w:eastAsia="Times New Roman" w:hAnsi="Times New Roman" w:cs="Times New Roman"/>
        </w:rPr>
        <w:t xml:space="preserve">low </w:t>
      </w:r>
      <w:r w:rsidR="0064009D" w:rsidRPr="004D40C4">
        <w:rPr>
          <w:rFonts w:ascii="Times New Roman" w:eastAsia="Times New Roman" w:hAnsi="Times New Roman" w:cs="Times New Roman"/>
        </w:rPr>
        <w:t xml:space="preserve">animal performance (Egan and Doyle, 1985; </w:t>
      </w:r>
      <w:proofErr w:type="spellStart"/>
      <w:r w:rsidR="0064009D" w:rsidRPr="004D40C4">
        <w:rPr>
          <w:rFonts w:ascii="Times New Roman" w:eastAsia="Times New Roman" w:hAnsi="Times New Roman" w:cs="Times New Roman"/>
        </w:rPr>
        <w:t>Leng</w:t>
      </w:r>
      <w:proofErr w:type="spellEnd"/>
      <w:r w:rsidR="0064009D" w:rsidRPr="004D40C4">
        <w:rPr>
          <w:rFonts w:ascii="Times New Roman" w:eastAsia="Times New Roman" w:hAnsi="Times New Roman" w:cs="Times New Roman"/>
        </w:rPr>
        <w:t xml:space="preserve">, 1990; </w:t>
      </w:r>
      <w:proofErr w:type="spellStart"/>
      <w:r w:rsidR="0064009D" w:rsidRPr="004D40C4">
        <w:rPr>
          <w:rFonts w:ascii="Times New Roman" w:eastAsia="Times New Roman" w:hAnsi="Times New Roman" w:cs="Times New Roman"/>
        </w:rPr>
        <w:t>Paulino</w:t>
      </w:r>
      <w:proofErr w:type="spellEnd"/>
      <w:r w:rsidR="0064009D" w:rsidRPr="004D40C4">
        <w:rPr>
          <w:rFonts w:ascii="Times New Roman" w:eastAsia="Times New Roman" w:hAnsi="Times New Roman" w:cs="Times New Roman"/>
        </w:rPr>
        <w:t xml:space="preserve"> et al., 2008).</w:t>
      </w:r>
    </w:p>
    <w:p w:rsidR="00320818" w:rsidRPr="004D40C4" w:rsidRDefault="0051136E" w:rsidP="002D3297">
      <w:pPr>
        <w:jc w:val="both"/>
        <w:rPr>
          <w:rFonts w:ascii="Times New Roman" w:hAnsi="Times New Roman" w:cs="Times New Roman"/>
        </w:rPr>
      </w:pPr>
      <w:r w:rsidRPr="004D40C4">
        <w:rPr>
          <w:rFonts w:ascii="Times New Roman" w:hAnsi="Times New Roman" w:cs="Times New Roman"/>
        </w:rPr>
        <w:t xml:space="preserve">Crude protein (CP;N x 6.25) in feeds serves two </w:t>
      </w:r>
      <w:r w:rsidR="0088239C" w:rsidRPr="004D40C4">
        <w:rPr>
          <w:rFonts w:ascii="Times New Roman" w:hAnsi="Times New Roman" w:cs="Times New Roman"/>
        </w:rPr>
        <w:t xml:space="preserve">main </w:t>
      </w:r>
      <w:r w:rsidRPr="004D40C4">
        <w:rPr>
          <w:rFonts w:ascii="Times New Roman" w:hAnsi="Times New Roman" w:cs="Times New Roman"/>
        </w:rPr>
        <w:t xml:space="preserve">functions in ruminants. The first is to supply N for the rumen microorganisms, and the second is to supply amino acids to the small intestines for absorption and use by the host ruminant animal. Amino acid supply comes from two sources, feed protein escaping microbial degradation and microbial protein (MP), derived from assimilating ruminal </w:t>
      </w:r>
      <w:proofErr w:type="spellStart"/>
      <w:r w:rsidR="00BC7D07">
        <w:rPr>
          <w:rFonts w:ascii="Times New Roman" w:hAnsi="Times New Roman" w:cs="Times New Roman"/>
        </w:rPr>
        <w:t>Amonnia</w:t>
      </w:r>
      <w:proofErr w:type="spellEnd"/>
      <w:r w:rsidR="00BC7D07">
        <w:rPr>
          <w:rFonts w:ascii="Times New Roman" w:hAnsi="Times New Roman" w:cs="Times New Roman"/>
        </w:rPr>
        <w:t xml:space="preserve"> (</w:t>
      </w:r>
      <w:r w:rsidRPr="004D40C4">
        <w:rPr>
          <w:rFonts w:ascii="Times New Roman" w:hAnsi="Times New Roman" w:cs="Times New Roman"/>
        </w:rPr>
        <w:t>NH</w:t>
      </w:r>
      <w:r w:rsidRPr="004D40C4">
        <w:rPr>
          <w:rFonts w:ascii="Times New Roman" w:hAnsi="Times New Roman" w:cs="Times New Roman"/>
          <w:vertAlign w:val="subscript"/>
        </w:rPr>
        <w:t>3</w:t>
      </w:r>
      <w:r w:rsidR="00BC7D07">
        <w:rPr>
          <w:rFonts w:ascii="Times New Roman" w:hAnsi="Times New Roman" w:cs="Times New Roman"/>
        </w:rPr>
        <w:t>)</w:t>
      </w:r>
      <w:r w:rsidR="000D0301">
        <w:rPr>
          <w:rFonts w:ascii="Times New Roman" w:hAnsi="Times New Roman" w:cs="Times New Roman"/>
        </w:rPr>
        <w:t>.</w:t>
      </w:r>
      <w:r w:rsidRPr="004D40C4">
        <w:rPr>
          <w:rFonts w:ascii="Times New Roman" w:hAnsi="Times New Roman" w:cs="Times New Roman"/>
        </w:rPr>
        <w:t xml:space="preserve"> (Broderick, 1994). Both amino sources are subsequently hydrolyzed and absorbed from the small intestine. It is the quantity of amino nitrogen, as well as the relative ratio of amino acids reaching the small intestine, that is important for optimum utilization.</w:t>
      </w:r>
      <w:r w:rsidR="0088239C" w:rsidRPr="004D40C4">
        <w:rPr>
          <w:rFonts w:ascii="Times New Roman" w:hAnsi="Times New Roman" w:cs="Times New Roman"/>
        </w:rPr>
        <w:t xml:space="preserve"> </w:t>
      </w:r>
      <w:r w:rsidR="00320818" w:rsidRPr="004D40C4">
        <w:rPr>
          <w:rFonts w:ascii="Times New Roman" w:hAnsi="Times New Roman" w:cs="Times New Roman"/>
        </w:rPr>
        <w:t xml:space="preserve">Until the minimum requirement for N is met in the rumen to satisfy microbial needs, ruminal fiber digestion is depressed, undigested residues accumulate in the rumen, and intake is depressed. </w:t>
      </w:r>
      <w:r w:rsidR="00320818" w:rsidRPr="004D40C4">
        <w:rPr>
          <w:rFonts w:ascii="Times New Roman" w:hAnsi="Times New Roman" w:cs="Times New Roman"/>
          <w:highlight w:val="yellow"/>
        </w:rPr>
        <w:t>For this reason, when dietary CP is below about 8% of the diet, CP content has a strong relationship with intake.</w:t>
      </w:r>
    </w:p>
    <w:p w:rsidR="0064009D" w:rsidRPr="004D40C4" w:rsidRDefault="0088239C" w:rsidP="002D3297">
      <w:pPr>
        <w:jc w:val="both"/>
        <w:rPr>
          <w:rFonts w:ascii="Times New Roman" w:hAnsi="Times New Roman" w:cs="Times New Roman"/>
        </w:rPr>
      </w:pPr>
      <w:r w:rsidRPr="004D40C4">
        <w:rPr>
          <w:rFonts w:ascii="Times New Roman" w:hAnsi="Times New Roman" w:cs="Times New Roman"/>
        </w:rPr>
        <w:t>Tropical grasses are rarely available as a balanced diet for grazing ruminants because they exhibit nutritional constraints that limit pasture intake and digestibility. For this reason, there is a demand to identify the nutritional limitations of tropical pastures, in order to avoid constraints on animal production.</w:t>
      </w:r>
    </w:p>
    <w:p w:rsidR="00D74D22" w:rsidRPr="004D40C4" w:rsidRDefault="00D74D22" w:rsidP="002D3297">
      <w:pPr>
        <w:jc w:val="both"/>
        <w:rPr>
          <w:rFonts w:ascii="Times New Roman" w:hAnsi="Times New Roman" w:cs="Times New Roman"/>
        </w:rPr>
      </w:pPr>
      <w:r w:rsidRPr="004D40C4">
        <w:rPr>
          <w:rFonts w:ascii="Times New Roman" w:hAnsi="Times New Roman" w:cs="Times New Roman"/>
        </w:rPr>
        <w:t xml:space="preserve">Literature provides little information on relationship among feed intake, daily gain and nutrient intake in goats fed Brachiaria grasses. This study therefore, was an attempt to provide more information on regression equations among the parameters (feed intake, daily gain and nutrient intake) for goats fed </w:t>
      </w:r>
      <w:r w:rsidR="000D0301">
        <w:rPr>
          <w:rFonts w:ascii="Times New Roman" w:hAnsi="Times New Roman" w:cs="Times New Roman"/>
        </w:rPr>
        <w:t>Urochloa</w:t>
      </w:r>
      <w:r w:rsidRPr="004D40C4">
        <w:rPr>
          <w:rFonts w:ascii="Times New Roman" w:hAnsi="Times New Roman" w:cs="Times New Roman"/>
        </w:rPr>
        <w:t xml:space="preserve"> grasses</w:t>
      </w:r>
    </w:p>
    <w:p w:rsidR="000C4EB5" w:rsidRPr="002D3297" w:rsidRDefault="002F64BC" w:rsidP="002D3297">
      <w:pPr>
        <w:jc w:val="both"/>
        <w:rPr>
          <w:rFonts w:ascii="Times New Roman" w:hAnsi="Times New Roman" w:cs="Times New Roman"/>
          <w:b/>
        </w:rPr>
      </w:pPr>
      <w:r w:rsidRPr="002D3297">
        <w:rPr>
          <w:rFonts w:ascii="Times New Roman" w:hAnsi="Times New Roman" w:cs="Times New Roman"/>
          <w:b/>
        </w:rPr>
        <w:t>Materials and Methods</w:t>
      </w:r>
    </w:p>
    <w:p w:rsidR="002F64BC" w:rsidRPr="002D3297" w:rsidRDefault="00320818" w:rsidP="002D3297">
      <w:pPr>
        <w:jc w:val="both"/>
        <w:rPr>
          <w:rFonts w:ascii="Times New Roman" w:hAnsi="Times New Roman" w:cs="Times New Roman"/>
          <w:b/>
          <w:bCs/>
        </w:rPr>
      </w:pPr>
      <w:r w:rsidRPr="002D3297">
        <w:rPr>
          <w:rFonts w:ascii="Times New Roman" w:hAnsi="Times New Roman" w:cs="Times New Roman"/>
          <w:b/>
          <w:bCs/>
        </w:rPr>
        <w:t>Site</w:t>
      </w:r>
    </w:p>
    <w:p w:rsidR="002F64BC" w:rsidRPr="004D40C4" w:rsidRDefault="002F64BC" w:rsidP="002D3297">
      <w:pPr>
        <w:jc w:val="both"/>
        <w:rPr>
          <w:rFonts w:ascii="Times New Roman" w:hAnsi="Times New Roman" w:cs="Times New Roman"/>
        </w:rPr>
      </w:pPr>
      <w:r w:rsidRPr="004D40C4">
        <w:rPr>
          <w:rFonts w:ascii="Times New Roman" w:hAnsi="Times New Roman" w:cs="Times New Roman"/>
        </w:rPr>
        <w:t xml:space="preserve">The feeding trial was conducted at the sheep and goat multiplication centre, </w:t>
      </w:r>
      <w:proofErr w:type="spellStart"/>
      <w:r w:rsidRPr="004D40C4">
        <w:rPr>
          <w:rFonts w:ascii="Times New Roman" w:hAnsi="Times New Roman" w:cs="Times New Roman"/>
        </w:rPr>
        <w:t>Matuga</w:t>
      </w:r>
      <w:proofErr w:type="spellEnd"/>
      <w:r w:rsidRPr="004D40C4">
        <w:rPr>
          <w:rFonts w:ascii="Times New Roman" w:hAnsi="Times New Roman" w:cs="Times New Roman"/>
        </w:rPr>
        <w:t xml:space="preserve"> (</w:t>
      </w:r>
      <w:r w:rsidR="00D83755" w:rsidRPr="004D40C4">
        <w:rPr>
          <w:rFonts w:ascii="Times New Roman" w:hAnsi="Times New Roman" w:cs="Times New Roman"/>
        </w:rPr>
        <w:t xml:space="preserve">4° 9’6’S, 39° </w:t>
      </w:r>
      <w:r w:rsidRPr="004D40C4">
        <w:rPr>
          <w:rFonts w:ascii="Times New Roman" w:hAnsi="Times New Roman" w:cs="Times New Roman"/>
        </w:rPr>
        <w:t>32’40’</w:t>
      </w:r>
      <w:r w:rsidR="00D83755" w:rsidRPr="004D40C4">
        <w:rPr>
          <w:rFonts w:ascii="Times New Roman" w:hAnsi="Times New Roman" w:cs="Times New Roman"/>
        </w:rPr>
        <w:t>E), in Kwale County, Kenya. Th</w:t>
      </w:r>
      <w:r w:rsidR="009140F3" w:rsidRPr="004D40C4">
        <w:rPr>
          <w:rFonts w:ascii="Times New Roman" w:hAnsi="Times New Roman" w:cs="Times New Roman"/>
        </w:rPr>
        <w:t xml:space="preserve">is area </w:t>
      </w:r>
      <w:r w:rsidRPr="004D40C4">
        <w:rPr>
          <w:rFonts w:ascii="Times New Roman" w:hAnsi="Times New Roman" w:cs="Times New Roman"/>
        </w:rPr>
        <w:t xml:space="preserve">is located in a low altitude zone (60 </w:t>
      </w:r>
      <w:proofErr w:type="spellStart"/>
      <w:r w:rsidRPr="004D40C4">
        <w:rPr>
          <w:rFonts w:ascii="Times New Roman" w:hAnsi="Times New Roman" w:cs="Times New Roman"/>
        </w:rPr>
        <w:t>m.a.s.l</w:t>
      </w:r>
      <w:proofErr w:type="spellEnd"/>
      <w:r w:rsidRPr="004D40C4">
        <w:rPr>
          <w:rFonts w:ascii="Times New Roman" w:hAnsi="Times New Roman" w:cs="Times New Roman"/>
        </w:rPr>
        <w:t>) coastal lowland 3 (CL3)</w:t>
      </w:r>
      <w:r w:rsidR="00D83755" w:rsidRPr="004D40C4">
        <w:rPr>
          <w:rFonts w:ascii="Times New Roman" w:hAnsi="Times New Roman" w:cs="Times New Roman"/>
        </w:rPr>
        <w:t xml:space="preserve"> </w:t>
      </w:r>
      <w:r w:rsidRPr="004D40C4">
        <w:rPr>
          <w:rFonts w:ascii="Times New Roman" w:hAnsi="Times New Roman" w:cs="Times New Roman"/>
        </w:rPr>
        <w:t>agro-ecological zones, also referred to as the Coconut-cassava zone</w:t>
      </w:r>
      <w:r w:rsidR="00D74D22" w:rsidRPr="004D40C4">
        <w:rPr>
          <w:rFonts w:ascii="Times New Roman" w:hAnsi="Times New Roman" w:cs="Times New Roman"/>
        </w:rPr>
        <w:t xml:space="preserve"> (</w:t>
      </w:r>
      <w:proofErr w:type="spellStart"/>
      <w:r w:rsidR="00D74D22" w:rsidRPr="004D40C4">
        <w:rPr>
          <w:rFonts w:ascii="Times New Roman" w:hAnsi="Times New Roman" w:cs="Times New Roman"/>
        </w:rPr>
        <w:t>Jaetzold</w:t>
      </w:r>
      <w:proofErr w:type="spellEnd"/>
      <w:r w:rsidR="00D74D22" w:rsidRPr="004D40C4">
        <w:rPr>
          <w:rFonts w:ascii="Times New Roman" w:hAnsi="Times New Roman" w:cs="Times New Roman"/>
        </w:rPr>
        <w:t xml:space="preserve"> </w:t>
      </w:r>
      <w:r w:rsidR="00D74D22" w:rsidRPr="004D40C4">
        <w:rPr>
          <w:rFonts w:ascii="Times New Roman" w:hAnsi="Times New Roman" w:cs="Times New Roman"/>
          <w:i/>
        </w:rPr>
        <w:t>et al.</w:t>
      </w:r>
      <w:r w:rsidR="00D74D22" w:rsidRPr="004D40C4">
        <w:rPr>
          <w:rFonts w:ascii="Times New Roman" w:hAnsi="Times New Roman" w:cs="Times New Roman"/>
        </w:rPr>
        <w:t>, 2006)</w:t>
      </w:r>
      <w:r w:rsidRPr="004D40C4">
        <w:rPr>
          <w:rFonts w:ascii="Times New Roman" w:hAnsi="Times New Roman" w:cs="Times New Roman"/>
        </w:rPr>
        <w:t>.</w:t>
      </w:r>
      <w:r w:rsidR="00D83755" w:rsidRPr="004D40C4">
        <w:rPr>
          <w:rFonts w:ascii="Times New Roman" w:hAnsi="Times New Roman" w:cs="Times New Roman"/>
        </w:rPr>
        <w:t xml:space="preserve"> </w:t>
      </w:r>
      <w:r w:rsidRPr="004D40C4">
        <w:rPr>
          <w:rFonts w:ascii="Times New Roman" w:hAnsi="Times New Roman" w:cs="Times New Roman"/>
        </w:rPr>
        <w:t>The average annual rainfall is 1100 mm while the relative humidity ranges</w:t>
      </w:r>
      <w:r w:rsidR="00D83755" w:rsidRPr="004D40C4">
        <w:rPr>
          <w:rFonts w:ascii="Times New Roman" w:hAnsi="Times New Roman" w:cs="Times New Roman"/>
        </w:rPr>
        <w:t xml:space="preserve"> </w:t>
      </w:r>
      <w:r w:rsidRPr="004D40C4">
        <w:rPr>
          <w:rFonts w:ascii="Times New Roman" w:hAnsi="Times New Roman" w:cs="Times New Roman"/>
        </w:rPr>
        <w:t>from 70-80% and an average temperature from 22-30°C.</w:t>
      </w:r>
    </w:p>
    <w:p w:rsidR="009140F3" w:rsidRPr="002D3297" w:rsidRDefault="009140F3" w:rsidP="002D3297">
      <w:pPr>
        <w:jc w:val="both"/>
        <w:rPr>
          <w:rFonts w:ascii="Times New Roman" w:hAnsi="Times New Roman" w:cs="Times New Roman"/>
          <w:b/>
        </w:rPr>
      </w:pPr>
      <w:r w:rsidRPr="002D3297">
        <w:rPr>
          <w:rFonts w:ascii="Times New Roman" w:hAnsi="Times New Roman" w:cs="Times New Roman"/>
          <w:b/>
        </w:rPr>
        <w:t>Experimental design and data collection</w:t>
      </w:r>
    </w:p>
    <w:p w:rsidR="009140F3" w:rsidRPr="004D40C4" w:rsidRDefault="00F0336B" w:rsidP="002D3297">
      <w:pPr>
        <w:jc w:val="both"/>
        <w:rPr>
          <w:rFonts w:ascii="Times New Roman" w:hAnsi="Times New Roman" w:cs="Times New Roman"/>
        </w:rPr>
      </w:pPr>
      <w:r w:rsidRPr="004D40C4">
        <w:rPr>
          <w:rFonts w:ascii="Times New Roman" w:hAnsi="Times New Roman" w:cs="Times New Roman"/>
        </w:rPr>
        <w:t xml:space="preserve">Sixteen </w:t>
      </w:r>
      <w:proofErr w:type="spellStart"/>
      <w:r w:rsidRPr="004D40C4">
        <w:rPr>
          <w:rFonts w:ascii="Times New Roman" w:hAnsi="Times New Roman" w:cs="Times New Roman"/>
        </w:rPr>
        <w:t>Galla</w:t>
      </w:r>
      <w:proofErr w:type="spellEnd"/>
      <w:r w:rsidRPr="004D40C4">
        <w:rPr>
          <w:rFonts w:ascii="Times New Roman" w:hAnsi="Times New Roman" w:cs="Times New Roman"/>
        </w:rPr>
        <w:t xml:space="preserve"> goat </w:t>
      </w:r>
      <w:proofErr w:type="spellStart"/>
      <w:r w:rsidRPr="004D40C4">
        <w:rPr>
          <w:rFonts w:ascii="Times New Roman" w:hAnsi="Times New Roman" w:cs="Times New Roman"/>
        </w:rPr>
        <w:t>bucklings</w:t>
      </w:r>
      <w:proofErr w:type="spellEnd"/>
      <w:r w:rsidRPr="004D40C4">
        <w:rPr>
          <w:rFonts w:ascii="Times New Roman" w:hAnsi="Times New Roman" w:cs="Times New Roman"/>
        </w:rPr>
        <w:t xml:space="preserve"> of liveweight (10-24kg) were selected and divided into four groups of four animals each. The animals were randomly assigned to four dietary treatments which were; </w:t>
      </w:r>
      <w:r w:rsidRPr="002D3297">
        <w:rPr>
          <w:rFonts w:ascii="Times New Roman" w:hAnsi="Times New Roman" w:cs="Times New Roman"/>
          <w:i/>
          <w:iCs/>
        </w:rPr>
        <w:t xml:space="preserve">Brachiaria </w:t>
      </w:r>
      <w:proofErr w:type="spellStart"/>
      <w:r w:rsidRPr="002D3297">
        <w:rPr>
          <w:rFonts w:ascii="Times New Roman" w:hAnsi="Times New Roman" w:cs="Times New Roman"/>
          <w:i/>
          <w:iCs/>
        </w:rPr>
        <w:t>brizantha</w:t>
      </w:r>
      <w:proofErr w:type="spellEnd"/>
      <w:r w:rsidRPr="002D3297">
        <w:rPr>
          <w:rFonts w:ascii="Times New Roman" w:hAnsi="Times New Roman" w:cs="Times New Roman"/>
          <w:i/>
          <w:iCs/>
        </w:rPr>
        <w:t xml:space="preserve"> </w:t>
      </w:r>
      <w:r w:rsidRPr="004D40C4">
        <w:rPr>
          <w:rFonts w:ascii="Times New Roman" w:hAnsi="Times New Roman" w:cs="Times New Roman"/>
        </w:rPr>
        <w:t xml:space="preserve">cv. </w:t>
      </w:r>
      <w:proofErr w:type="spellStart"/>
      <w:r w:rsidRPr="004D40C4">
        <w:rPr>
          <w:rFonts w:ascii="Times New Roman" w:hAnsi="Times New Roman" w:cs="Times New Roman"/>
        </w:rPr>
        <w:t>Piata</w:t>
      </w:r>
      <w:proofErr w:type="spellEnd"/>
      <w:r w:rsidRPr="004D40C4">
        <w:rPr>
          <w:rFonts w:ascii="Times New Roman" w:hAnsi="Times New Roman" w:cs="Times New Roman"/>
        </w:rPr>
        <w:t xml:space="preserve"> and MG4</w:t>
      </w:r>
      <w:r w:rsidRPr="002D3297">
        <w:rPr>
          <w:rFonts w:ascii="Times New Roman" w:hAnsi="Times New Roman" w:cs="Times New Roman"/>
          <w:i/>
          <w:iCs/>
        </w:rPr>
        <w:t>, Brachiaria</w:t>
      </w:r>
      <w:r w:rsidRPr="004D40C4">
        <w:rPr>
          <w:rFonts w:ascii="Times New Roman" w:hAnsi="Times New Roman" w:cs="Times New Roman"/>
        </w:rPr>
        <w:t xml:space="preserve"> hybrid </w:t>
      </w:r>
      <w:proofErr w:type="spellStart"/>
      <w:r w:rsidR="00B819C1" w:rsidRPr="004D40C4">
        <w:rPr>
          <w:rFonts w:ascii="Times New Roman" w:hAnsi="Times New Roman" w:cs="Times New Roman"/>
        </w:rPr>
        <w:t>Mulato</w:t>
      </w:r>
      <w:proofErr w:type="spellEnd"/>
      <w:r w:rsidR="00B819C1" w:rsidRPr="004D40C4">
        <w:rPr>
          <w:rFonts w:ascii="Times New Roman" w:hAnsi="Times New Roman" w:cs="Times New Roman"/>
        </w:rPr>
        <w:t xml:space="preserve"> II and Rhodes grass</w:t>
      </w:r>
      <w:r w:rsidR="001B2A73" w:rsidRPr="004D40C4">
        <w:rPr>
          <w:rFonts w:ascii="Times New Roman" w:hAnsi="Times New Roman" w:cs="Times New Roman"/>
        </w:rPr>
        <w:t xml:space="preserve"> and animals standing as replicates i.e. four replicates</w:t>
      </w:r>
      <w:r w:rsidR="00B819C1" w:rsidRPr="004D40C4">
        <w:rPr>
          <w:rFonts w:ascii="Times New Roman" w:hAnsi="Times New Roman" w:cs="Times New Roman"/>
        </w:rPr>
        <w:t>.</w:t>
      </w:r>
      <w:r w:rsidR="001B2A73" w:rsidRPr="004D40C4">
        <w:rPr>
          <w:rFonts w:ascii="Times New Roman" w:hAnsi="Times New Roman" w:cs="Times New Roman"/>
        </w:rPr>
        <w:t xml:space="preserve"> The weight of the goats were balanced in each treatment before the experiment begun.</w:t>
      </w:r>
    </w:p>
    <w:p w:rsidR="00ED3C66" w:rsidRPr="004D40C4" w:rsidRDefault="00B819C1" w:rsidP="002D3297">
      <w:pPr>
        <w:jc w:val="both"/>
        <w:rPr>
          <w:rFonts w:ascii="Times New Roman" w:hAnsi="Times New Roman" w:cs="Times New Roman"/>
        </w:rPr>
      </w:pPr>
      <w:r w:rsidRPr="004D40C4">
        <w:rPr>
          <w:rFonts w:ascii="Times New Roman" w:hAnsi="Times New Roman" w:cs="Times New Roman"/>
        </w:rPr>
        <w:t>There was an acclimatization period prior to data collection of about 14 days. During this period, the animals were dewormed against endo and ecto parasites. Individual pens were cleaned every morning.</w:t>
      </w:r>
    </w:p>
    <w:p w:rsidR="00B819C1" w:rsidRPr="004D40C4" w:rsidRDefault="00B819C1" w:rsidP="002D3297">
      <w:pPr>
        <w:jc w:val="both"/>
        <w:rPr>
          <w:rFonts w:ascii="Times New Roman" w:hAnsi="Times New Roman" w:cs="Times New Roman"/>
        </w:rPr>
      </w:pPr>
      <w:r w:rsidRPr="004D40C4">
        <w:rPr>
          <w:rFonts w:ascii="Times New Roman" w:hAnsi="Times New Roman" w:cs="Times New Roman"/>
        </w:rPr>
        <w:t xml:space="preserve">The Brachiaria cultivars used for feeding were; Brachiaria </w:t>
      </w:r>
      <w:proofErr w:type="spellStart"/>
      <w:r w:rsidRPr="004D40C4">
        <w:rPr>
          <w:rFonts w:ascii="Times New Roman" w:hAnsi="Times New Roman" w:cs="Times New Roman"/>
        </w:rPr>
        <w:t>brizantha</w:t>
      </w:r>
      <w:proofErr w:type="spellEnd"/>
      <w:r w:rsidRPr="004D40C4">
        <w:rPr>
          <w:rFonts w:ascii="Times New Roman" w:hAnsi="Times New Roman" w:cs="Times New Roman"/>
        </w:rPr>
        <w:t xml:space="preserve"> </w:t>
      </w:r>
      <w:proofErr w:type="spellStart"/>
      <w:r w:rsidRPr="004D40C4">
        <w:rPr>
          <w:rFonts w:ascii="Times New Roman" w:hAnsi="Times New Roman" w:cs="Times New Roman"/>
        </w:rPr>
        <w:t>cvs</w:t>
      </w:r>
      <w:proofErr w:type="spellEnd"/>
      <w:r w:rsidRPr="004D40C4">
        <w:rPr>
          <w:rFonts w:ascii="Times New Roman" w:hAnsi="Times New Roman" w:cs="Times New Roman"/>
        </w:rPr>
        <w:t xml:space="preserve">. </w:t>
      </w:r>
      <w:proofErr w:type="spellStart"/>
      <w:r w:rsidRPr="004D40C4">
        <w:rPr>
          <w:rFonts w:ascii="Times New Roman" w:hAnsi="Times New Roman" w:cs="Times New Roman"/>
        </w:rPr>
        <w:t>Piata</w:t>
      </w:r>
      <w:proofErr w:type="spellEnd"/>
      <w:r w:rsidRPr="004D40C4">
        <w:rPr>
          <w:rFonts w:ascii="Times New Roman" w:hAnsi="Times New Roman" w:cs="Times New Roman"/>
        </w:rPr>
        <w:t xml:space="preserve"> and MG4 and Brachiaria hybrid </w:t>
      </w:r>
      <w:proofErr w:type="spellStart"/>
      <w:r w:rsidRPr="004D40C4">
        <w:rPr>
          <w:rFonts w:ascii="Times New Roman" w:hAnsi="Times New Roman" w:cs="Times New Roman"/>
        </w:rPr>
        <w:t>Mulato</w:t>
      </w:r>
      <w:proofErr w:type="spellEnd"/>
      <w:r w:rsidRPr="004D40C4">
        <w:rPr>
          <w:rFonts w:ascii="Times New Roman" w:hAnsi="Times New Roman" w:cs="Times New Roman"/>
        </w:rPr>
        <w:t xml:space="preserve"> II. Chloris </w:t>
      </w:r>
      <w:proofErr w:type="spellStart"/>
      <w:r w:rsidRPr="004D40C4">
        <w:rPr>
          <w:rFonts w:ascii="Times New Roman" w:hAnsi="Times New Roman" w:cs="Times New Roman"/>
        </w:rPr>
        <w:t>gayana</w:t>
      </w:r>
      <w:proofErr w:type="spellEnd"/>
      <w:r w:rsidRPr="004D40C4">
        <w:rPr>
          <w:rFonts w:ascii="Times New Roman" w:hAnsi="Times New Roman" w:cs="Times New Roman"/>
        </w:rPr>
        <w:t xml:space="preserve"> (Rhodes grass) was used as the control grass. All animals received commercial concentrate supplements (100 g/day) made of maize germ that was purchased to last the entire </w:t>
      </w:r>
      <w:r w:rsidRPr="004D40C4">
        <w:rPr>
          <w:rFonts w:ascii="Times New Roman" w:hAnsi="Times New Roman" w:cs="Times New Roman"/>
        </w:rPr>
        <w:lastRenderedPageBreak/>
        <w:t>experiment. The supplement was given before the basal diets were offered at 7.00 am in the morning. Water and mineral block were provided ad libitum.</w:t>
      </w:r>
    </w:p>
    <w:p w:rsidR="00B819C1" w:rsidRPr="004D40C4" w:rsidRDefault="00B819C1" w:rsidP="002D3297">
      <w:pPr>
        <w:jc w:val="both"/>
        <w:rPr>
          <w:rFonts w:ascii="Times New Roman" w:hAnsi="Times New Roman" w:cs="Times New Roman"/>
        </w:rPr>
      </w:pPr>
      <w:r w:rsidRPr="004D40C4">
        <w:rPr>
          <w:rFonts w:ascii="Times New Roman" w:hAnsi="Times New Roman" w:cs="Times New Roman"/>
        </w:rPr>
        <w:t xml:space="preserve">The grasses were harvested 5cm  above ground, and were allowed to dry for three days before they were baled into hay and transported to </w:t>
      </w:r>
      <w:proofErr w:type="spellStart"/>
      <w:r w:rsidRPr="004D40C4">
        <w:rPr>
          <w:rFonts w:ascii="Times New Roman" w:hAnsi="Times New Roman" w:cs="Times New Roman"/>
        </w:rPr>
        <w:t>Matuga</w:t>
      </w:r>
      <w:proofErr w:type="spellEnd"/>
      <w:r w:rsidRPr="004D40C4">
        <w:rPr>
          <w:rFonts w:ascii="Times New Roman" w:hAnsi="Times New Roman" w:cs="Times New Roman"/>
        </w:rPr>
        <w:t xml:space="preserve"> where the experiment took place. The harvested forages were chopped (5cm length) using a motorized chaff cutter before feeding. Chopping the forages prevented diet selection by the goats.</w:t>
      </w:r>
    </w:p>
    <w:p w:rsidR="00B819C1" w:rsidRPr="004D40C4" w:rsidRDefault="00B819C1" w:rsidP="002D3297">
      <w:pPr>
        <w:jc w:val="both"/>
        <w:rPr>
          <w:rFonts w:ascii="Times New Roman" w:hAnsi="Times New Roman" w:cs="Times New Roman"/>
        </w:rPr>
      </w:pPr>
      <w:r w:rsidRPr="004D40C4">
        <w:rPr>
          <w:rFonts w:ascii="Times New Roman" w:hAnsi="Times New Roman" w:cs="Times New Roman"/>
        </w:rPr>
        <w:t>After the adaptation period of days, daily feed offers and refusals were weighed and recorded for a period of 12 weeks (20</w:t>
      </w:r>
      <w:r w:rsidRPr="004D40C4">
        <w:rPr>
          <w:rFonts w:ascii="Times New Roman" w:hAnsi="Times New Roman" w:cs="Times New Roman"/>
          <w:vertAlign w:val="superscript"/>
        </w:rPr>
        <w:t>th</w:t>
      </w:r>
      <w:r w:rsidRPr="004D40C4">
        <w:rPr>
          <w:rFonts w:ascii="Times New Roman" w:hAnsi="Times New Roman" w:cs="Times New Roman"/>
        </w:rPr>
        <w:t xml:space="preserve"> April 2016-</w:t>
      </w:r>
      <w:r w:rsidR="00454F5D" w:rsidRPr="004D40C4">
        <w:rPr>
          <w:rFonts w:ascii="Times New Roman" w:hAnsi="Times New Roman" w:cs="Times New Roman"/>
        </w:rPr>
        <w:t xml:space="preserve">13 July 2016). </w:t>
      </w:r>
      <w:r w:rsidR="001B2A73" w:rsidRPr="004D40C4">
        <w:rPr>
          <w:rFonts w:ascii="Times New Roman" w:hAnsi="Times New Roman" w:cs="Times New Roman"/>
        </w:rPr>
        <w:t>Growth performance, expressed by weight gain was recorded weekly</w:t>
      </w:r>
      <w:r w:rsidR="00454F5D" w:rsidRPr="004D40C4">
        <w:rPr>
          <w:rFonts w:ascii="Times New Roman" w:hAnsi="Times New Roman" w:cs="Times New Roman"/>
        </w:rPr>
        <w:t xml:space="preserve"> at around 9 am (fasting weight) using a portable electronic weighing scale.</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rPr>
        <w:t>Daily feed dry matter (DM), organic matter (OM) and crude protein (CP), were calculated as the difference between feed offer and refusal corrected for the respective contents in the original sample (</w:t>
      </w:r>
      <w:proofErr w:type="spellStart"/>
      <w:r w:rsidRPr="004D40C4">
        <w:rPr>
          <w:rFonts w:ascii="Times New Roman" w:hAnsi="Times New Roman" w:cs="Times New Roman"/>
        </w:rPr>
        <w:t>Balehegn</w:t>
      </w:r>
      <w:proofErr w:type="spellEnd"/>
      <w:r w:rsidRPr="004D40C4">
        <w:rPr>
          <w:rFonts w:ascii="Times New Roman" w:hAnsi="Times New Roman" w:cs="Times New Roman"/>
        </w:rPr>
        <w:t xml:space="preserve"> et al., 2014, Ngila et al., 2016).</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rPr>
        <w:t>Feed conversion ratio was obtained by dividing the feed intake and average daily gain.</w:t>
      </w:r>
    </w:p>
    <w:p w:rsidR="001B2A73" w:rsidRPr="004D40C4" w:rsidRDefault="001B2A73" w:rsidP="002D3297">
      <w:pPr>
        <w:jc w:val="both"/>
        <w:rPr>
          <w:rFonts w:ascii="Times New Roman" w:hAnsi="Times New Roman" w:cs="Times New Roman"/>
        </w:rPr>
      </w:pPr>
    </w:p>
    <w:p w:rsidR="001B2A73" w:rsidRPr="002D3297" w:rsidRDefault="001B2A73" w:rsidP="002D3297">
      <w:pPr>
        <w:jc w:val="both"/>
        <w:rPr>
          <w:rFonts w:ascii="Times New Roman" w:hAnsi="Times New Roman" w:cs="Times New Roman"/>
          <w:b/>
        </w:rPr>
      </w:pPr>
      <w:r w:rsidRPr="002D3297">
        <w:rPr>
          <w:rFonts w:ascii="Times New Roman" w:hAnsi="Times New Roman" w:cs="Times New Roman"/>
          <w:b/>
        </w:rPr>
        <w:t>Experimental Diets fed to the goats</w:t>
      </w:r>
    </w:p>
    <w:tbl>
      <w:tblPr>
        <w:tblStyle w:val="TableGrid"/>
        <w:tblW w:w="0" w:type="auto"/>
        <w:tblLook w:val="04A0" w:firstRow="1" w:lastRow="0" w:firstColumn="1" w:lastColumn="0" w:noHBand="0" w:noVBand="1"/>
      </w:tblPr>
      <w:tblGrid>
        <w:gridCol w:w="2264"/>
        <w:gridCol w:w="2257"/>
        <w:gridCol w:w="711"/>
        <w:gridCol w:w="1054"/>
        <w:gridCol w:w="711"/>
      </w:tblGrid>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Proximate composition</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Control (Rhodes grass)</w:t>
            </w:r>
          </w:p>
        </w:tc>
        <w:tc>
          <w:tcPr>
            <w:tcW w:w="0" w:type="auto"/>
          </w:tcPr>
          <w:p w:rsidR="00870827" w:rsidRPr="004D40C4" w:rsidRDefault="00870827" w:rsidP="002D3297">
            <w:pPr>
              <w:jc w:val="both"/>
              <w:rPr>
                <w:rFonts w:ascii="Times New Roman" w:hAnsi="Times New Roman" w:cs="Times New Roman"/>
              </w:rPr>
            </w:pPr>
            <w:proofErr w:type="spellStart"/>
            <w:r w:rsidRPr="004D40C4">
              <w:rPr>
                <w:rFonts w:ascii="Times New Roman" w:hAnsi="Times New Roman" w:cs="Times New Roman"/>
              </w:rPr>
              <w:t>Piata</w:t>
            </w:r>
            <w:proofErr w:type="spellEnd"/>
          </w:p>
        </w:tc>
        <w:tc>
          <w:tcPr>
            <w:tcW w:w="0" w:type="auto"/>
          </w:tcPr>
          <w:p w:rsidR="00870827" w:rsidRPr="004D40C4" w:rsidRDefault="00870827" w:rsidP="002D3297">
            <w:pPr>
              <w:jc w:val="both"/>
              <w:rPr>
                <w:rFonts w:ascii="Times New Roman" w:hAnsi="Times New Roman" w:cs="Times New Roman"/>
              </w:rPr>
            </w:pPr>
            <w:proofErr w:type="spellStart"/>
            <w:r w:rsidRPr="004D40C4">
              <w:rPr>
                <w:rFonts w:ascii="Times New Roman" w:hAnsi="Times New Roman" w:cs="Times New Roman"/>
              </w:rPr>
              <w:t>Mulato</w:t>
            </w:r>
            <w:proofErr w:type="spellEnd"/>
            <w:r w:rsidRPr="004D40C4">
              <w:rPr>
                <w:rFonts w:ascii="Times New Roman" w:hAnsi="Times New Roman" w:cs="Times New Roman"/>
              </w:rPr>
              <w:t xml:space="preserve"> II</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MG4</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Dry matter</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91.18</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91.14</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91.76</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92.26</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Crude protein</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6.74</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12.10</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3.00</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12.59</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NDF</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68.75</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57.05</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70.72</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56.98</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ADF</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44.28</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36.85</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46.93</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35.43</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ADL</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5.50</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4.34</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6.26</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3.65</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Ash</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7.72</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10.68</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5.04</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10.77</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proofErr w:type="spellStart"/>
            <w:r w:rsidRPr="004D40C4">
              <w:rPr>
                <w:rFonts w:ascii="Times New Roman" w:hAnsi="Times New Roman" w:cs="Times New Roman"/>
              </w:rPr>
              <w:t>DoMD</w:t>
            </w:r>
            <w:proofErr w:type="spellEnd"/>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39.83</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48.74</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38.22</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49.02</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DMD</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44.62</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55.47</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41.36</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54.96</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Ca</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0.39</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0.27</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0.27</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0.27</w:t>
            </w:r>
          </w:p>
        </w:tc>
      </w:tr>
      <w:tr w:rsidR="00870827" w:rsidRPr="004D40C4" w:rsidTr="00870827">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P</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0.08</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0.22</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0.19</w:t>
            </w:r>
          </w:p>
        </w:tc>
        <w:tc>
          <w:tcPr>
            <w:tcW w:w="0" w:type="auto"/>
          </w:tcPr>
          <w:p w:rsidR="00870827" w:rsidRPr="004D40C4" w:rsidRDefault="00870827" w:rsidP="002D3297">
            <w:pPr>
              <w:jc w:val="both"/>
              <w:rPr>
                <w:rFonts w:ascii="Times New Roman" w:hAnsi="Times New Roman" w:cs="Times New Roman"/>
              </w:rPr>
            </w:pPr>
            <w:r w:rsidRPr="004D40C4">
              <w:rPr>
                <w:rFonts w:ascii="Times New Roman" w:hAnsi="Times New Roman" w:cs="Times New Roman"/>
              </w:rPr>
              <w:t>0.20</w:t>
            </w:r>
          </w:p>
        </w:tc>
      </w:tr>
    </w:tbl>
    <w:p w:rsidR="001B2A73" w:rsidRPr="004D40C4" w:rsidRDefault="001B2A73" w:rsidP="002D3297">
      <w:pPr>
        <w:jc w:val="both"/>
        <w:rPr>
          <w:rFonts w:ascii="Times New Roman" w:hAnsi="Times New Roman" w:cs="Times New Roman"/>
        </w:rPr>
      </w:pPr>
    </w:p>
    <w:p w:rsidR="00454F5D" w:rsidRPr="002D3297" w:rsidRDefault="00454F5D" w:rsidP="002D3297">
      <w:pPr>
        <w:jc w:val="both"/>
        <w:rPr>
          <w:rFonts w:ascii="Times New Roman" w:hAnsi="Times New Roman" w:cs="Times New Roman"/>
          <w:b/>
        </w:rPr>
      </w:pPr>
      <w:r w:rsidRPr="002D3297">
        <w:rPr>
          <w:rFonts w:ascii="Times New Roman" w:hAnsi="Times New Roman" w:cs="Times New Roman"/>
          <w:b/>
        </w:rPr>
        <w:t>Chemical composition of feeds used</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rPr>
        <w:t xml:space="preserve">Small amounts of herbage were taken from each bale used for feeding and a composite sample of about 2kg constituted for analysis. The samples were grinded to pass through a 1-mm screen. The samples were then </w:t>
      </w:r>
      <w:r w:rsidR="00AD3FFF" w:rsidRPr="004D40C4">
        <w:rPr>
          <w:rFonts w:ascii="Times New Roman" w:hAnsi="Times New Roman" w:cs="Times New Roman"/>
        </w:rPr>
        <w:t>analyzed</w:t>
      </w:r>
      <w:r w:rsidRPr="004D40C4">
        <w:rPr>
          <w:rFonts w:ascii="Times New Roman" w:hAnsi="Times New Roman" w:cs="Times New Roman"/>
        </w:rPr>
        <w:t xml:space="preserve"> in duplicates for chemical composition at the Animal and Nutrition Laboratory at KALRO – </w:t>
      </w:r>
      <w:proofErr w:type="spellStart"/>
      <w:r w:rsidRPr="004D40C4">
        <w:rPr>
          <w:rFonts w:ascii="Times New Roman" w:hAnsi="Times New Roman" w:cs="Times New Roman"/>
        </w:rPr>
        <w:t>Muguga</w:t>
      </w:r>
      <w:proofErr w:type="spellEnd"/>
      <w:r w:rsidR="002D3297">
        <w:rPr>
          <w:rFonts w:ascii="Times New Roman" w:hAnsi="Times New Roman" w:cs="Times New Roman"/>
        </w:rPr>
        <w:t xml:space="preserve">. Ash was determined </w:t>
      </w:r>
      <w:r w:rsidR="0065505F">
        <w:rPr>
          <w:rFonts w:ascii="Times New Roman" w:hAnsi="Times New Roman" w:cs="Times New Roman"/>
        </w:rPr>
        <w:t xml:space="preserve">by igniting the samples in a furnace at </w:t>
      </w:r>
      <w:proofErr w:type="spellStart"/>
      <w:r w:rsidR="0065505F" w:rsidRPr="004D40C4">
        <w:rPr>
          <w:rFonts w:ascii="Times New Roman" w:hAnsi="Times New Roman" w:cs="Times New Roman"/>
        </w:rPr>
        <w:t>at</w:t>
      </w:r>
      <w:proofErr w:type="spellEnd"/>
      <w:r w:rsidR="0065505F" w:rsidRPr="004D40C4">
        <w:rPr>
          <w:rFonts w:ascii="Times New Roman" w:hAnsi="Times New Roman" w:cs="Times New Roman"/>
        </w:rPr>
        <w:t xml:space="preserve"> 600°C for 2 hours</w:t>
      </w:r>
      <w:r w:rsidR="0065505F">
        <w:rPr>
          <w:rFonts w:ascii="Times New Roman" w:hAnsi="Times New Roman" w:cs="Times New Roman"/>
        </w:rPr>
        <w:t xml:space="preserve">. </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bCs/>
        </w:rPr>
        <w:t>Ash</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rPr>
        <w:t>Ground dried samples were weighed and then ignited in a furnace at 600°C for 2 hours, to oxidize all organic matter. Ash was the determined by weighing the resulting inorganic residue [18].</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bCs/>
        </w:rPr>
        <w:t>Calcium</w:t>
      </w:r>
    </w:p>
    <w:p w:rsidR="00454F5D" w:rsidRPr="004D40C4" w:rsidRDefault="00454F5D" w:rsidP="002D3297">
      <w:pPr>
        <w:jc w:val="both"/>
        <w:rPr>
          <w:rFonts w:ascii="Times New Roman" w:hAnsi="Times New Roman" w:cs="Times New Roman"/>
        </w:rPr>
      </w:pPr>
      <w:r w:rsidRPr="004D40C4">
        <w:rPr>
          <w:rFonts w:ascii="Times New Roman" w:hAnsi="Times New Roman" w:cs="Times New Roman"/>
        </w:rPr>
        <w:t>The samples were ignited at 550°C to burn all organic material. The remaining minerals are digested in 6 M HCl to release calcium, which is then determined using a spectrophotometric assay based on reaction of calcium with o-</w:t>
      </w:r>
      <w:proofErr w:type="spellStart"/>
      <w:r w:rsidRPr="004D40C4">
        <w:rPr>
          <w:rFonts w:ascii="Times New Roman" w:hAnsi="Times New Roman" w:cs="Times New Roman"/>
        </w:rPr>
        <w:t>cresolpthaleincomplexone</w:t>
      </w:r>
      <w:proofErr w:type="spellEnd"/>
      <w:r w:rsidRPr="004D40C4">
        <w:rPr>
          <w:rFonts w:ascii="Times New Roman" w:hAnsi="Times New Roman" w:cs="Times New Roman"/>
        </w:rPr>
        <w:t xml:space="preserve"> (CPC) in alkaline solution. The Calcium was then calculated as follows;</w:t>
      </w:r>
    </w:p>
    <w:p w:rsidR="00454F5D" w:rsidRPr="004D40C4" w:rsidRDefault="00454F5D" w:rsidP="004D40C4">
      <w:pPr>
        <w:rPr>
          <w:rFonts w:ascii="Times New Roman" w:hAnsi="Times New Roman" w:cs="Times New Roman"/>
        </w:rPr>
      </w:pPr>
      <w:r w:rsidRPr="004D40C4">
        <w:rPr>
          <w:rFonts w:ascii="Times New Roman" w:hAnsi="Times New Roman" w:cs="Times New Roman"/>
        </w:rPr>
        <w:lastRenderedPageBreak/>
        <w:t>% Calcium=(C x V x DF)/(W x 10)</w:t>
      </w:r>
    </w:p>
    <w:p w:rsidR="00454F5D" w:rsidRPr="004D40C4" w:rsidRDefault="00454F5D" w:rsidP="004D40C4">
      <w:pPr>
        <w:rPr>
          <w:rFonts w:ascii="Times New Roman" w:hAnsi="Times New Roman" w:cs="Times New Roman"/>
        </w:rPr>
      </w:pPr>
      <w:r w:rsidRPr="004D40C4">
        <w:rPr>
          <w:rFonts w:ascii="Times New Roman" w:hAnsi="Times New Roman" w:cs="Times New Roman"/>
        </w:rPr>
        <w:t>Where, C: Concentration calcium in measure solution (mg/</w:t>
      </w:r>
      <w:proofErr w:type="spellStart"/>
      <w:r w:rsidRPr="004D40C4">
        <w:rPr>
          <w:rFonts w:ascii="Times New Roman" w:hAnsi="Times New Roman" w:cs="Times New Roman"/>
        </w:rPr>
        <w:t>litre</w:t>
      </w:r>
      <w:proofErr w:type="spellEnd"/>
      <w:r w:rsidRPr="004D40C4">
        <w:rPr>
          <w:rFonts w:ascii="Times New Roman" w:hAnsi="Times New Roman" w:cs="Times New Roman"/>
        </w:rPr>
        <w:t xml:space="preserve">), V: Volume of solution (in </w:t>
      </w:r>
      <w:proofErr w:type="spellStart"/>
      <w:r w:rsidRPr="004D40C4">
        <w:rPr>
          <w:rFonts w:ascii="Times New Roman" w:hAnsi="Times New Roman" w:cs="Times New Roman"/>
        </w:rPr>
        <w:t>litres</w:t>
      </w:r>
      <w:proofErr w:type="spellEnd"/>
      <w:r w:rsidRPr="004D40C4">
        <w:rPr>
          <w:rFonts w:ascii="Times New Roman" w:hAnsi="Times New Roman" w:cs="Times New Roman"/>
        </w:rPr>
        <w:t>, i.e., 0.025 (L)), DF: Dilution factor (normally, i.e., 1), W: Weight of the sample (g), and 10: Factor to convert g/kg to % [19,20].</w:t>
      </w:r>
    </w:p>
    <w:p w:rsidR="00454F5D" w:rsidRPr="004D40C4" w:rsidRDefault="00454F5D" w:rsidP="004D40C4">
      <w:pPr>
        <w:rPr>
          <w:rFonts w:ascii="Times New Roman" w:hAnsi="Times New Roman" w:cs="Times New Roman"/>
        </w:rPr>
      </w:pPr>
      <w:r w:rsidRPr="004D40C4">
        <w:rPr>
          <w:rFonts w:ascii="Times New Roman" w:hAnsi="Times New Roman" w:cs="Times New Roman"/>
          <w:bCs/>
        </w:rPr>
        <w:t>Phosphorous</w:t>
      </w:r>
    </w:p>
    <w:p w:rsidR="00454F5D" w:rsidRPr="004D40C4" w:rsidRDefault="00454F5D" w:rsidP="004D40C4">
      <w:pPr>
        <w:rPr>
          <w:rFonts w:ascii="Times New Roman" w:hAnsi="Times New Roman" w:cs="Times New Roman"/>
        </w:rPr>
      </w:pPr>
      <w:r w:rsidRPr="004D40C4">
        <w:rPr>
          <w:rFonts w:ascii="Times New Roman" w:hAnsi="Times New Roman" w:cs="Times New Roman"/>
        </w:rPr>
        <w:t xml:space="preserve">Feed material was </w:t>
      </w:r>
      <w:proofErr w:type="spellStart"/>
      <w:r w:rsidRPr="004D40C4">
        <w:rPr>
          <w:rFonts w:ascii="Times New Roman" w:hAnsi="Times New Roman" w:cs="Times New Roman"/>
        </w:rPr>
        <w:t>ashed</w:t>
      </w:r>
      <w:proofErr w:type="spellEnd"/>
      <w:r w:rsidRPr="004D40C4">
        <w:rPr>
          <w:rFonts w:ascii="Times New Roman" w:hAnsi="Times New Roman" w:cs="Times New Roman"/>
        </w:rPr>
        <w:t xml:space="preserve"> following digestion in hydrochloric acid. Molybdovanadate reagent is added which results in a characteristic yellow colour after reacting with phosphorus, which was measured spectrophotometrically. Percentage of phosphorous is calculated;</w:t>
      </w:r>
    </w:p>
    <w:p w:rsidR="00454F5D" w:rsidRPr="004D40C4" w:rsidRDefault="00454F5D" w:rsidP="004D40C4">
      <w:pPr>
        <w:rPr>
          <w:rFonts w:ascii="Times New Roman" w:hAnsi="Times New Roman" w:cs="Times New Roman"/>
        </w:rPr>
      </w:pPr>
      <w:r w:rsidRPr="004D40C4">
        <w:rPr>
          <w:rFonts w:ascii="Times New Roman" w:hAnsi="Times New Roman" w:cs="Times New Roman"/>
        </w:rPr>
        <w:t>% Phosphorus=(C x V x DF)/(W x 10)</w:t>
      </w:r>
    </w:p>
    <w:p w:rsidR="00454F5D" w:rsidRPr="004D40C4" w:rsidRDefault="00454F5D" w:rsidP="004D40C4">
      <w:pPr>
        <w:rPr>
          <w:rFonts w:ascii="Times New Roman" w:hAnsi="Times New Roman" w:cs="Times New Roman"/>
        </w:rPr>
      </w:pPr>
      <w:r w:rsidRPr="004D40C4">
        <w:rPr>
          <w:rFonts w:ascii="Times New Roman" w:hAnsi="Times New Roman" w:cs="Times New Roman"/>
        </w:rPr>
        <w:t xml:space="preserve">Where, C: Concentration phosphorus in measured solution (mg/ </w:t>
      </w:r>
      <w:proofErr w:type="spellStart"/>
      <w:r w:rsidRPr="004D40C4">
        <w:rPr>
          <w:rFonts w:ascii="Times New Roman" w:hAnsi="Times New Roman" w:cs="Times New Roman"/>
        </w:rPr>
        <w:t>litre</w:t>
      </w:r>
      <w:proofErr w:type="spellEnd"/>
      <w:r w:rsidRPr="004D40C4">
        <w:rPr>
          <w:rFonts w:ascii="Times New Roman" w:hAnsi="Times New Roman" w:cs="Times New Roman"/>
        </w:rPr>
        <w:t xml:space="preserve">), V: Volume of solution (in </w:t>
      </w:r>
      <w:proofErr w:type="spellStart"/>
      <w:r w:rsidRPr="004D40C4">
        <w:rPr>
          <w:rFonts w:ascii="Times New Roman" w:hAnsi="Times New Roman" w:cs="Times New Roman"/>
        </w:rPr>
        <w:t>litres</w:t>
      </w:r>
      <w:proofErr w:type="spellEnd"/>
      <w:r w:rsidRPr="004D40C4">
        <w:rPr>
          <w:rFonts w:ascii="Times New Roman" w:hAnsi="Times New Roman" w:cs="Times New Roman"/>
        </w:rPr>
        <w:t>, i.e., 0.025 L), DF: Dilution factor (normally, i.e., 1), W: Weight of the sample (g), and 10: Factor to convert g/kg to % [21].</w:t>
      </w:r>
    </w:p>
    <w:p w:rsidR="00454F5D" w:rsidRPr="004D40C4" w:rsidRDefault="00454F5D" w:rsidP="004D40C4">
      <w:pPr>
        <w:rPr>
          <w:rFonts w:ascii="Times New Roman" w:hAnsi="Times New Roman" w:cs="Times New Roman"/>
        </w:rPr>
      </w:pPr>
      <w:r w:rsidRPr="004D40C4">
        <w:rPr>
          <w:rFonts w:ascii="Times New Roman" w:hAnsi="Times New Roman" w:cs="Times New Roman"/>
          <w:bCs/>
          <w:i/>
          <w:iCs/>
        </w:rPr>
        <w:t xml:space="preserve">In vitro </w:t>
      </w:r>
      <w:r w:rsidRPr="004D40C4">
        <w:rPr>
          <w:rFonts w:ascii="Times New Roman" w:hAnsi="Times New Roman" w:cs="Times New Roman"/>
          <w:bCs/>
        </w:rPr>
        <w:t>dry matter digestibility</w:t>
      </w:r>
    </w:p>
    <w:p w:rsidR="00454F5D" w:rsidRPr="004D40C4" w:rsidRDefault="00454F5D" w:rsidP="004D40C4">
      <w:pPr>
        <w:rPr>
          <w:rFonts w:ascii="Times New Roman" w:hAnsi="Times New Roman" w:cs="Times New Roman"/>
        </w:rPr>
      </w:pPr>
      <w:r w:rsidRPr="004D40C4">
        <w:rPr>
          <w:rFonts w:ascii="Times New Roman" w:hAnsi="Times New Roman" w:cs="Times New Roman"/>
        </w:rPr>
        <w:t>The samples were incubated under anaerobic conditions with rumen microorganisms for 48 hours at 39°C, under anaerobic conditions. This was then followed up by a 24 hour acid-pepsin digestion phase at 39°C, also under anaerobic conditions. Following this 72 hour incubation, residual plant materials was later collected, filtrated and oven dried (105°C for 12 hours).</w:t>
      </w:r>
    </w:p>
    <w:p w:rsidR="00454F5D" w:rsidRPr="004D40C4" w:rsidRDefault="00454F5D" w:rsidP="004D40C4">
      <w:pPr>
        <w:rPr>
          <w:rFonts w:ascii="Times New Roman" w:hAnsi="Times New Roman" w:cs="Times New Roman"/>
        </w:rPr>
      </w:pPr>
      <w:r w:rsidRPr="004D40C4">
        <w:rPr>
          <w:rFonts w:ascii="Times New Roman" w:hAnsi="Times New Roman" w:cs="Times New Roman"/>
        </w:rPr>
        <w:t>The IVDMD was calculated using the formula;</w:t>
      </w:r>
    </w:p>
    <w:p w:rsidR="00454F5D" w:rsidRPr="004D40C4" w:rsidRDefault="00454F5D" w:rsidP="004D40C4">
      <w:pPr>
        <w:rPr>
          <w:rFonts w:ascii="Times New Roman" w:hAnsi="Times New Roman" w:cs="Times New Roman"/>
        </w:rPr>
      </w:pPr>
      <w:r w:rsidRPr="004D40C4">
        <w:rPr>
          <w:rFonts w:ascii="Times New Roman" w:hAnsi="Times New Roman" w:cs="Times New Roman"/>
        </w:rPr>
        <w:t>%IVDMD=(1-wd-wb/</w:t>
      </w:r>
      <w:proofErr w:type="spellStart"/>
      <w:r w:rsidRPr="004D40C4">
        <w:rPr>
          <w:rFonts w:ascii="Times New Roman" w:hAnsi="Times New Roman" w:cs="Times New Roman"/>
        </w:rPr>
        <w:t>ws</w:t>
      </w:r>
      <w:proofErr w:type="spellEnd"/>
      <w:r w:rsidRPr="004D40C4">
        <w:rPr>
          <w:rFonts w:ascii="Times New Roman" w:hAnsi="Times New Roman" w:cs="Times New Roman"/>
        </w:rPr>
        <w:t>)*100</w:t>
      </w:r>
    </w:p>
    <w:p w:rsidR="00454F5D" w:rsidRPr="004D40C4" w:rsidRDefault="00454F5D" w:rsidP="004D40C4">
      <w:pPr>
        <w:rPr>
          <w:rFonts w:ascii="Times New Roman" w:hAnsi="Times New Roman" w:cs="Times New Roman"/>
        </w:rPr>
      </w:pPr>
      <w:r w:rsidRPr="004D40C4">
        <w:rPr>
          <w:rFonts w:ascii="Times New Roman" w:hAnsi="Times New Roman" w:cs="Times New Roman"/>
        </w:rPr>
        <w:t xml:space="preserve">Where; wd: Weight of dry plant residue, </w:t>
      </w:r>
      <w:proofErr w:type="spellStart"/>
      <w:r w:rsidRPr="004D40C4">
        <w:rPr>
          <w:rFonts w:ascii="Times New Roman" w:hAnsi="Times New Roman" w:cs="Times New Roman"/>
        </w:rPr>
        <w:t>wb</w:t>
      </w:r>
      <w:proofErr w:type="spellEnd"/>
      <w:r w:rsidRPr="004D40C4">
        <w:rPr>
          <w:rFonts w:ascii="Times New Roman" w:hAnsi="Times New Roman" w:cs="Times New Roman"/>
        </w:rPr>
        <w:t xml:space="preserve">: Weight of dry residues from blank, and </w:t>
      </w:r>
      <w:proofErr w:type="spellStart"/>
      <w:r w:rsidRPr="004D40C4">
        <w:rPr>
          <w:rFonts w:ascii="Times New Roman" w:hAnsi="Times New Roman" w:cs="Times New Roman"/>
        </w:rPr>
        <w:t>ws</w:t>
      </w:r>
      <w:proofErr w:type="spellEnd"/>
      <w:r w:rsidRPr="004D40C4">
        <w:rPr>
          <w:rFonts w:ascii="Times New Roman" w:hAnsi="Times New Roman" w:cs="Times New Roman"/>
        </w:rPr>
        <w:t>: Dry weight of original plant sample [22,23].</w:t>
      </w:r>
    </w:p>
    <w:p w:rsidR="00454F5D" w:rsidRPr="004D40C4" w:rsidRDefault="00454F5D" w:rsidP="004D40C4">
      <w:pPr>
        <w:rPr>
          <w:rFonts w:ascii="Times New Roman" w:hAnsi="Times New Roman" w:cs="Times New Roman"/>
        </w:rPr>
      </w:pPr>
      <w:r w:rsidRPr="004D40C4">
        <w:rPr>
          <w:rFonts w:ascii="Times New Roman" w:hAnsi="Times New Roman" w:cs="Times New Roman"/>
          <w:bCs/>
        </w:rPr>
        <w:t>Crude protein</w:t>
      </w:r>
    </w:p>
    <w:p w:rsidR="00454F5D" w:rsidRPr="004D40C4" w:rsidRDefault="00454F5D" w:rsidP="004D40C4">
      <w:pPr>
        <w:rPr>
          <w:rFonts w:ascii="Times New Roman" w:hAnsi="Times New Roman" w:cs="Times New Roman"/>
        </w:rPr>
      </w:pPr>
      <w:r w:rsidRPr="004D40C4">
        <w:rPr>
          <w:rFonts w:ascii="Times New Roman" w:hAnsi="Times New Roman" w:cs="Times New Roman"/>
        </w:rPr>
        <w:t xml:space="preserve">The Nitrogen content of the feed is the basis for calculating the crude protein (CP). The method established by </w:t>
      </w:r>
      <w:proofErr w:type="spellStart"/>
      <w:r w:rsidRPr="004D40C4">
        <w:rPr>
          <w:rFonts w:ascii="Times New Roman" w:hAnsi="Times New Roman" w:cs="Times New Roman"/>
        </w:rPr>
        <w:t>Kjeldahl</w:t>
      </w:r>
      <w:proofErr w:type="spellEnd"/>
      <w:r w:rsidRPr="004D40C4">
        <w:rPr>
          <w:rFonts w:ascii="Times New Roman" w:hAnsi="Times New Roman" w:cs="Times New Roman"/>
        </w:rPr>
        <w:t xml:space="preserve"> converts the nitrogen present in the sample to Ammonia which is determined by titration [24]. Assuming that the average nitrogen content of proteins is 16% multiplying the nitrogen content in% obtained via </w:t>
      </w:r>
      <w:proofErr w:type="spellStart"/>
      <w:r w:rsidRPr="004D40C4">
        <w:rPr>
          <w:rFonts w:ascii="Times New Roman" w:hAnsi="Times New Roman" w:cs="Times New Roman"/>
        </w:rPr>
        <w:t>Kjeldahl</w:t>
      </w:r>
      <w:proofErr w:type="spellEnd"/>
      <w:r w:rsidRPr="004D40C4">
        <w:rPr>
          <w:rFonts w:ascii="Times New Roman" w:hAnsi="Times New Roman" w:cs="Times New Roman"/>
        </w:rPr>
        <w:t xml:space="preserve"> analysis with 6.25 gives an approximate protein content of the sample.</w:t>
      </w:r>
    </w:p>
    <w:p w:rsidR="00454F5D" w:rsidRPr="004D40C4" w:rsidRDefault="00454F5D" w:rsidP="004D40C4">
      <w:pPr>
        <w:rPr>
          <w:rFonts w:ascii="Times New Roman" w:hAnsi="Times New Roman" w:cs="Times New Roman"/>
        </w:rPr>
      </w:pPr>
      <w:r w:rsidRPr="004D40C4">
        <w:rPr>
          <w:rFonts w:ascii="Times New Roman" w:hAnsi="Times New Roman" w:cs="Times New Roman"/>
        </w:rPr>
        <w:t>CP=6.25 x %N where CP is crude protein and N is nitrogen.</w:t>
      </w:r>
    </w:p>
    <w:p w:rsidR="00BD0C47" w:rsidRPr="004D40C4" w:rsidRDefault="00BD0C47" w:rsidP="004D40C4">
      <w:pPr>
        <w:rPr>
          <w:rFonts w:ascii="Times New Roman" w:hAnsi="Times New Roman" w:cs="Times New Roman"/>
          <w:bCs/>
        </w:rPr>
      </w:pPr>
      <w:r w:rsidRPr="004D40C4">
        <w:rPr>
          <w:rFonts w:ascii="Times New Roman" w:hAnsi="Times New Roman" w:cs="Times New Roman"/>
          <w:bCs/>
        </w:rPr>
        <w:t>Crude Fiber</w:t>
      </w:r>
    </w:p>
    <w:p w:rsidR="00BD0C47" w:rsidRPr="004D40C4" w:rsidRDefault="00BD0C47" w:rsidP="004D40C4">
      <w:pPr>
        <w:rPr>
          <w:rFonts w:ascii="Times New Roman" w:hAnsi="Times New Roman" w:cs="Times New Roman"/>
        </w:rPr>
      </w:pPr>
      <w:r w:rsidRPr="004D40C4">
        <w:rPr>
          <w:rFonts w:ascii="Times New Roman" w:hAnsi="Times New Roman" w:cs="Times New Roman"/>
        </w:rPr>
        <w:t xml:space="preserve">Fibre analysis was done using the </w:t>
      </w:r>
      <w:proofErr w:type="spellStart"/>
      <w:r w:rsidRPr="004D40C4">
        <w:rPr>
          <w:rFonts w:ascii="Times New Roman" w:hAnsi="Times New Roman" w:cs="Times New Roman"/>
        </w:rPr>
        <w:t>Ankom</w:t>
      </w:r>
      <w:proofErr w:type="spellEnd"/>
      <w:r w:rsidRPr="004D40C4">
        <w:rPr>
          <w:rFonts w:ascii="Times New Roman" w:hAnsi="Times New Roman" w:cs="Times New Roman"/>
        </w:rPr>
        <w:t xml:space="preserve"> fibre method which is a modification of the Van </w:t>
      </w:r>
      <w:proofErr w:type="spellStart"/>
      <w:r w:rsidRPr="004D40C4">
        <w:rPr>
          <w:rFonts w:ascii="Times New Roman" w:hAnsi="Times New Roman" w:cs="Times New Roman"/>
        </w:rPr>
        <w:t>Soest</w:t>
      </w:r>
      <w:proofErr w:type="spellEnd"/>
      <w:r w:rsidRPr="004D40C4">
        <w:rPr>
          <w:rFonts w:ascii="Times New Roman" w:hAnsi="Times New Roman" w:cs="Times New Roman"/>
        </w:rPr>
        <w:t xml:space="preserve"> System [19-25] of forage analysis. The carbohydrates in a feed sample are retrieved in two fractions; Crude fibre, Nitrogen free extractives (CF, NFE) of the proximate analysis. The fraction, which is not soluble in a defined concentration of alkalis and acids, is defined as crude fiber (CF). This fraction contains cellulose, hemicellulose and lignin. Sugars, starch, </w:t>
      </w:r>
      <w:proofErr w:type="spellStart"/>
      <w:r w:rsidRPr="004D40C4">
        <w:rPr>
          <w:rFonts w:ascii="Times New Roman" w:hAnsi="Times New Roman" w:cs="Times New Roman"/>
        </w:rPr>
        <w:t>pectins</w:t>
      </w:r>
      <w:proofErr w:type="spellEnd"/>
      <w:r w:rsidRPr="004D40C4">
        <w:rPr>
          <w:rFonts w:ascii="Times New Roman" w:hAnsi="Times New Roman" w:cs="Times New Roman"/>
        </w:rPr>
        <w:t xml:space="preserve"> and hemicellulose etc. are defined as nitrogen-fee extractives (NFE). This fraction again is not determined chemically it is rather calculated by subtracting CP, EE and CF from organic matter.</w:t>
      </w:r>
    </w:p>
    <w:p w:rsidR="00870827" w:rsidRPr="000D0301" w:rsidRDefault="00870827" w:rsidP="004D40C4">
      <w:pPr>
        <w:rPr>
          <w:rFonts w:ascii="Times New Roman" w:hAnsi="Times New Roman" w:cs="Times New Roman"/>
          <w:b/>
          <w:bCs/>
        </w:rPr>
      </w:pPr>
      <w:r w:rsidRPr="000D0301">
        <w:rPr>
          <w:rFonts w:ascii="Times New Roman" w:hAnsi="Times New Roman" w:cs="Times New Roman"/>
          <w:b/>
          <w:bCs/>
        </w:rPr>
        <w:t>Analytical Procedure</w:t>
      </w:r>
    </w:p>
    <w:p w:rsidR="00870827" w:rsidRPr="000D0301" w:rsidRDefault="00870827" w:rsidP="004D40C4">
      <w:pPr>
        <w:rPr>
          <w:rFonts w:ascii="Times New Roman" w:hAnsi="Times New Roman" w:cs="Times New Roman"/>
          <w:b/>
        </w:rPr>
      </w:pPr>
      <w:r w:rsidRPr="000D0301">
        <w:rPr>
          <w:rFonts w:ascii="Times New Roman" w:hAnsi="Times New Roman" w:cs="Times New Roman"/>
          <w:b/>
        </w:rPr>
        <w:t>Statistical Analysis</w:t>
      </w:r>
    </w:p>
    <w:p w:rsidR="00A15B0E" w:rsidRPr="004D40C4" w:rsidRDefault="00870827" w:rsidP="004D40C4">
      <w:pPr>
        <w:rPr>
          <w:rFonts w:ascii="Times New Roman" w:eastAsia="Times New Roman" w:hAnsi="Times New Roman" w:cs="Times New Roman"/>
          <w:lang w:eastAsia="en-GB"/>
        </w:rPr>
      </w:pPr>
      <w:r w:rsidRPr="004D40C4">
        <w:rPr>
          <w:rFonts w:ascii="Times New Roman" w:hAnsi="Times New Roman" w:cs="Times New Roman"/>
        </w:rPr>
        <w:lastRenderedPageBreak/>
        <w:t xml:space="preserve">Data collected from the experiment were subjected to multiple </w:t>
      </w:r>
      <w:r w:rsidR="00A15B0E" w:rsidRPr="004D40C4">
        <w:rPr>
          <w:rFonts w:ascii="Times New Roman" w:eastAsia="Times New Roman" w:hAnsi="Times New Roman" w:cs="Times New Roman"/>
          <w:lang w:eastAsia="en-GB"/>
        </w:rPr>
        <w:t>(Y=a + b</w:t>
      </w:r>
      <w:r w:rsidR="00A15B0E" w:rsidRPr="004D40C4">
        <w:rPr>
          <w:rFonts w:ascii="Times New Roman" w:eastAsia="Times New Roman" w:hAnsi="Times New Roman" w:cs="Times New Roman"/>
          <w:position w:val="-4"/>
          <w:lang w:eastAsia="en-GB"/>
        </w:rPr>
        <w:t>1</w:t>
      </w:r>
      <w:r w:rsidR="00A15B0E" w:rsidRPr="004D40C4">
        <w:rPr>
          <w:rFonts w:ascii="Times New Roman" w:eastAsia="Times New Roman" w:hAnsi="Times New Roman" w:cs="Times New Roman"/>
          <w:lang w:eastAsia="en-GB"/>
        </w:rPr>
        <w:t>X + b</w:t>
      </w:r>
      <w:r w:rsidR="00A15B0E" w:rsidRPr="004D40C4">
        <w:rPr>
          <w:rFonts w:ascii="Times New Roman" w:eastAsia="Times New Roman" w:hAnsi="Times New Roman" w:cs="Times New Roman"/>
          <w:position w:val="-4"/>
          <w:lang w:eastAsia="en-GB"/>
        </w:rPr>
        <w:t>2</w:t>
      </w:r>
      <w:r w:rsidR="00A15B0E" w:rsidRPr="004D40C4">
        <w:rPr>
          <w:rFonts w:ascii="Times New Roman" w:eastAsia="Times New Roman" w:hAnsi="Times New Roman" w:cs="Times New Roman"/>
          <w:lang w:eastAsia="en-GB"/>
        </w:rPr>
        <w:t>X + b</w:t>
      </w:r>
      <w:r w:rsidR="00A15B0E" w:rsidRPr="004D40C4">
        <w:rPr>
          <w:rFonts w:ascii="Times New Roman" w:eastAsia="Times New Roman" w:hAnsi="Times New Roman" w:cs="Times New Roman"/>
          <w:position w:val="-4"/>
          <w:lang w:eastAsia="en-GB"/>
        </w:rPr>
        <w:t>n</w:t>
      </w:r>
      <w:r w:rsidR="00A15B0E" w:rsidRPr="004D40C4">
        <w:rPr>
          <w:rFonts w:ascii="Times New Roman" w:eastAsia="Times New Roman" w:hAnsi="Times New Roman" w:cs="Times New Roman"/>
          <w:lang w:eastAsia="en-GB"/>
        </w:rPr>
        <w:t>X) regression analysis between feed intake, daily gain as dependent variables against nutrient intake (dry matter, crude protein, Ash, NDF, ADL, DMD) (</w:t>
      </w:r>
      <w:proofErr w:type="spellStart"/>
      <w:r w:rsidR="00A15B0E" w:rsidRPr="004D40C4">
        <w:rPr>
          <w:rFonts w:ascii="Times New Roman" w:eastAsia="Times New Roman" w:hAnsi="Times New Roman" w:cs="Times New Roman"/>
          <w:lang w:eastAsia="en-GB"/>
        </w:rPr>
        <w:t>Rstudio</w:t>
      </w:r>
      <w:proofErr w:type="spellEnd"/>
      <w:r w:rsidR="00A15B0E" w:rsidRPr="004D40C4">
        <w:rPr>
          <w:rFonts w:ascii="Times New Roman" w:eastAsia="Times New Roman" w:hAnsi="Times New Roman" w:cs="Times New Roman"/>
          <w:lang w:eastAsia="en-GB"/>
        </w:rPr>
        <w:t>)</w:t>
      </w:r>
    </w:p>
    <w:p w:rsidR="00A15B0E" w:rsidRPr="004D40C4" w:rsidRDefault="00A15B0E" w:rsidP="004D40C4">
      <w:pPr>
        <w:rPr>
          <w:rFonts w:ascii="Times New Roman" w:eastAsia="Times New Roman" w:hAnsi="Times New Roman" w:cs="Times New Roman"/>
          <w:lang w:eastAsia="en-GB"/>
        </w:rPr>
      </w:pPr>
    </w:p>
    <w:p w:rsidR="00A15B0E" w:rsidRPr="004D40C4" w:rsidRDefault="00A15B0E" w:rsidP="004D40C4">
      <w:pPr>
        <w:rPr>
          <w:rFonts w:ascii="Times New Roman" w:eastAsia="Times New Roman" w:hAnsi="Times New Roman" w:cs="Times New Roman"/>
          <w:lang w:eastAsia="en-GB"/>
        </w:rPr>
      </w:pPr>
      <w:r w:rsidRPr="004D40C4">
        <w:rPr>
          <w:rFonts w:ascii="Times New Roman" w:eastAsia="Times New Roman" w:hAnsi="Times New Roman" w:cs="Times New Roman"/>
          <w:lang w:eastAsia="en-GB"/>
        </w:rPr>
        <w:t>Results</w:t>
      </w:r>
    </w:p>
    <w:p w:rsidR="00A15B0E" w:rsidRPr="004D40C4" w:rsidRDefault="00A15B0E" w:rsidP="004D40C4">
      <w:pPr>
        <w:rPr>
          <w:rFonts w:ascii="Times New Roman" w:eastAsia="Times New Roman" w:hAnsi="Times New Roman" w:cs="Times New Roman"/>
          <w:lang w:eastAsia="en-GB"/>
        </w:rPr>
      </w:pPr>
      <w:r w:rsidRPr="004D40C4">
        <w:rPr>
          <w:rFonts w:ascii="Times New Roman" w:eastAsia="Times New Roman" w:hAnsi="Times New Roman" w:cs="Times New Roman"/>
          <w:lang w:eastAsia="en-GB"/>
        </w:rPr>
        <w:t>Multiple regression between feed intake, average daily gain and nutrient intake of growing goats fed Brachiaria cultivars</w:t>
      </w:r>
    </w:p>
    <w:p w:rsidR="00870827" w:rsidRPr="004D40C4" w:rsidRDefault="00870827" w:rsidP="004D40C4">
      <w:pPr>
        <w:rPr>
          <w:rFonts w:ascii="Times New Roman" w:hAnsi="Times New Roman" w:cs="Times New Roman"/>
        </w:rPr>
      </w:pPr>
    </w:p>
    <w:p w:rsidR="00454F5D" w:rsidRPr="004D40C4" w:rsidRDefault="00BD0C47" w:rsidP="004D40C4">
      <w:pPr>
        <w:rPr>
          <w:rFonts w:ascii="Times New Roman" w:hAnsi="Times New Roman" w:cs="Times New Roman"/>
          <w:bCs/>
        </w:rPr>
      </w:pPr>
      <w:r w:rsidRPr="004D40C4">
        <w:rPr>
          <w:rFonts w:ascii="Times New Roman" w:hAnsi="Times New Roman" w:cs="Times New Roman"/>
          <w:bCs/>
        </w:rPr>
        <w:t>References</w:t>
      </w:r>
    </w:p>
    <w:sectPr w:rsidR="00454F5D" w:rsidRPr="004D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B5"/>
    <w:rsid w:val="00024AA7"/>
    <w:rsid w:val="00064032"/>
    <w:rsid w:val="000856DC"/>
    <w:rsid w:val="000C4EB5"/>
    <w:rsid w:val="000D0301"/>
    <w:rsid w:val="00122F61"/>
    <w:rsid w:val="001A5F4D"/>
    <w:rsid w:val="001B2A73"/>
    <w:rsid w:val="001E32BE"/>
    <w:rsid w:val="00215EC9"/>
    <w:rsid w:val="00243E01"/>
    <w:rsid w:val="00265508"/>
    <w:rsid w:val="002B5213"/>
    <w:rsid w:val="002B55A4"/>
    <w:rsid w:val="002D3297"/>
    <w:rsid w:val="002F64BC"/>
    <w:rsid w:val="00320818"/>
    <w:rsid w:val="00342049"/>
    <w:rsid w:val="00392153"/>
    <w:rsid w:val="003E42CF"/>
    <w:rsid w:val="003E4C44"/>
    <w:rsid w:val="00454F5D"/>
    <w:rsid w:val="00470EFB"/>
    <w:rsid w:val="004D40C4"/>
    <w:rsid w:val="004E7913"/>
    <w:rsid w:val="0051136E"/>
    <w:rsid w:val="00511F91"/>
    <w:rsid w:val="005459B2"/>
    <w:rsid w:val="005511E0"/>
    <w:rsid w:val="00592BDB"/>
    <w:rsid w:val="0064009D"/>
    <w:rsid w:val="00654410"/>
    <w:rsid w:val="0065505F"/>
    <w:rsid w:val="00685190"/>
    <w:rsid w:val="006B5A2E"/>
    <w:rsid w:val="0070085D"/>
    <w:rsid w:val="00707EE2"/>
    <w:rsid w:val="0074546E"/>
    <w:rsid w:val="00756E41"/>
    <w:rsid w:val="00766D9A"/>
    <w:rsid w:val="007D3EA1"/>
    <w:rsid w:val="00813435"/>
    <w:rsid w:val="00870827"/>
    <w:rsid w:val="0088239C"/>
    <w:rsid w:val="00896844"/>
    <w:rsid w:val="008D24D3"/>
    <w:rsid w:val="009140F3"/>
    <w:rsid w:val="00966DC8"/>
    <w:rsid w:val="00977F6C"/>
    <w:rsid w:val="009B76F5"/>
    <w:rsid w:val="009F09C3"/>
    <w:rsid w:val="00A15B0E"/>
    <w:rsid w:val="00A163C8"/>
    <w:rsid w:val="00A2174F"/>
    <w:rsid w:val="00AC411D"/>
    <w:rsid w:val="00AD3FFF"/>
    <w:rsid w:val="00B0688B"/>
    <w:rsid w:val="00B44494"/>
    <w:rsid w:val="00B56CE7"/>
    <w:rsid w:val="00B819C1"/>
    <w:rsid w:val="00BC7D07"/>
    <w:rsid w:val="00BD0C47"/>
    <w:rsid w:val="00BF6EAE"/>
    <w:rsid w:val="00C03E91"/>
    <w:rsid w:val="00C47511"/>
    <w:rsid w:val="00C8783A"/>
    <w:rsid w:val="00CA7936"/>
    <w:rsid w:val="00CE59DF"/>
    <w:rsid w:val="00CE6A06"/>
    <w:rsid w:val="00D74D22"/>
    <w:rsid w:val="00D80522"/>
    <w:rsid w:val="00D83755"/>
    <w:rsid w:val="00DA2011"/>
    <w:rsid w:val="00DD717D"/>
    <w:rsid w:val="00E52FA8"/>
    <w:rsid w:val="00E96495"/>
    <w:rsid w:val="00EA7D2F"/>
    <w:rsid w:val="00EB3C7C"/>
    <w:rsid w:val="00ED3C66"/>
    <w:rsid w:val="00F0336B"/>
    <w:rsid w:val="00F71BDD"/>
    <w:rsid w:val="00FA5480"/>
    <w:rsid w:val="00FC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0D376-29ED-6947-AD94-D871865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0F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856D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56DC"/>
    <w:rPr>
      <w:rFonts w:ascii="Times New Roman" w:hAnsi="Times New Roman" w:cs="Times New Roman"/>
      <w:sz w:val="18"/>
      <w:szCs w:val="18"/>
    </w:rPr>
  </w:style>
  <w:style w:type="table" w:styleId="TableGrid">
    <w:name w:val="Table Grid"/>
    <w:basedOn w:val="TableNormal"/>
    <w:uiPriority w:val="39"/>
    <w:rsid w:val="00870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383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57">
          <w:marLeft w:val="0"/>
          <w:marRight w:val="0"/>
          <w:marTop w:val="0"/>
          <w:marBottom w:val="0"/>
          <w:divBdr>
            <w:top w:val="none" w:sz="0" w:space="0" w:color="auto"/>
            <w:left w:val="none" w:sz="0" w:space="0" w:color="auto"/>
            <w:bottom w:val="none" w:sz="0" w:space="0" w:color="auto"/>
            <w:right w:val="none" w:sz="0" w:space="0" w:color="auto"/>
          </w:divBdr>
          <w:divsChild>
            <w:div w:id="974069314">
              <w:marLeft w:val="0"/>
              <w:marRight w:val="0"/>
              <w:marTop w:val="0"/>
              <w:marBottom w:val="0"/>
              <w:divBdr>
                <w:top w:val="none" w:sz="0" w:space="0" w:color="auto"/>
                <w:left w:val="none" w:sz="0" w:space="0" w:color="auto"/>
                <w:bottom w:val="none" w:sz="0" w:space="0" w:color="auto"/>
                <w:right w:val="none" w:sz="0" w:space="0" w:color="auto"/>
              </w:divBdr>
              <w:divsChild>
                <w:div w:id="19672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2252">
      <w:bodyDiv w:val="1"/>
      <w:marLeft w:val="0"/>
      <w:marRight w:val="0"/>
      <w:marTop w:val="0"/>
      <w:marBottom w:val="0"/>
      <w:divBdr>
        <w:top w:val="none" w:sz="0" w:space="0" w:color="auto"/>
        <w:left w:val="none" w:sz="0" w:space="0" w:color="auto"/>
        <w:bottom w:val="none" w:sz="0" w:space="0" w:color="auto"/>
        <w:right w:val="none" w:sz="0" w:space="0" w:color="auto"/>
      </w:divBdr>
      <w:divsChild>
        <w:div w:id="1406028098">
          <w:marLeft w:val="0"/>
          <w:marRight w:val="0"/>
          <w:marTop w:val="0"/>
          <w:marBottom w:val="0"/>
          <w:divBdr>
            <w:top w:val="none" w:sz="0" w:space="0" w:color="auto"/>
            <w:left w:val="none" w:sz="0" w:space="0" w:color="auto"/>
            <w:bottom w:val="none" w:sz="0" w:space="0" w:color="auto"/>
            <w:right w:val="none" w:sz="0" w:space="0" w:color="auto"/>
          </w:divBdr>
          <w:divsChild>
            <w:div w:id="1572811371">
              <w:marLeft w:val="0"/>
              <w:marRight w:val="0"/>
              <w:marTop w:val="0"/>
              <w:marBottom w:val="0"/>
              <w:divBdr>
                <w:top w:val="none" w:sz="0" w:space="0" w:color="auto"/>
                <w:left w:val="none" w:sz="0" w:space="0" w:color="auto"/>
                <w:bottom w:val="none" w:sz="0" w:space="0" w:color="auto"/>
                <w:right w:val="none" w:sz="0" w:space="0" w:color="auto"/>
              </w:divBdr>
              <w:divsChild>
                <w:div w:id="16764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3709">
      <w:bodyDiv w:val="1"/>
      <w:marLeft w:val="0"/>
      <w:marRight w:val="0"/>
      <w:marTop w:val="0"/>
      <w:marBottom w:val="0"/>
      <w:divBdr>
        <w:top w:val="none" w:sz="0" w:space="0" w:color="auto"/>
        <w:left w:val="none" w:sz="0" w:space="0" w:color="auto"/>
        <w:bottom w:val="none" w:sz="0" w:space="0" w:color="auto"/>
        <w:right w:val="none" w:sz="0" w:space="0" w:color="auto"/>
      </w:divBdr>
      <w:divsChild>
        <w:div w:id="65809705">
          <w:marLeft w:val="0"/>
          <w:marRight w:val="0"/>
          <w:marTop w:val="0"/>
          <w:marBottom w:val="0"/>
          <w:divBdr>
            <w:top w:val="none" w:sz="0" w:space="0" w:color="auto"/>
            <w:left w:val="none" w:sz="0" w:space="0" w:color="auto"/>
            <w:bottom w:val="none" w:sz="0" w:space="0" w:color="auto"/>
            <w:right w:val="none" w:sz="0" w:space="0" w:color="auto"/>
          </w:divBdr>
          <w:divsChild>
            <w:div w:id="1820879049">
              <w:marLeft w:val="0"/>
              <w:marRight w:val="0"/>
              <w:marTop w:val="0"/>
              <w:marBottom w:val="0"/>
              <w:divBdr>
                <w:top w:val="none" w:sz="0" w:space="0" w:color="auto"/>
                <w:left w:val="none" w:sz="0" w:space="0" w:color="auto"/>
                <w:bottom w:val="none" w:sz="0" w:space="0" w:color="auto"/>
                <w:right w:val="none" w:sz="0" w:space="0" w:color="auto"/>
              </w:divBdr>
              <w:divsChild>
                <w:div w:id="7630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4375">
      <w:bodyDiv w:val="1"/>
      <w:marLeft w:val="0"/>
      <w:marRight w:val="0"/>
      <w:marTop w:val="0"/>
      <w:marBottom w:val="0"/>
      <w:divBdr>
        <w:top w:val="none" w:sz="0" w:space="0" w:color="auto"/>
        <w:left w:val="none" w:sz="0" w:space="0" w:color="auto"/>
        <w:bottom w:val="none" w:sz="0" w:space="0" w:color="auto"/>
        <w:right w:val="none" w:sz="0" w:space="0" w:color="auto"/>
      </w:divBdr>
      <w:divsChild>
        <w:div w:id="436408632">
          <w:marLeft w:val="0"/>
          <w:marRight w:val="0"/>
          <w:marTop w:val="0"/>
          <w:marBottom w:val="0"/>
          <w:divBdr>
            <w:top w:val="none" w:sz="0" w:space="0" w:color="auto"/>
            <w:left w:val="none" w:sz="0" w:space="0" w:color="auto"/>
            <w:bottom w:val="none" w:sz="0" w:space="0" w:color="auto"/>
            <w:right w:val="none" w:sz="0" w:space="0" w:color="auto"/>
          </w:divBdr>
          <w:divsChild>
            <w:div w:id="782655362">
              <w:marLeft w:val="0"/>
              <w:marRight w:val="0"/>
              <w:marTop w:val="0"/>
              <w:marBottom w:val="0"/>
              <w:divBdr>
                <w:top w:val="none" w:sz="0" w:space="0" w:color="auto"/>
                <w:left w:val="none" w:sz="0" w:space="0" w:color="auto"/>
                <w:bottom w:val="none" w:sz="0" w:space="0" w:color="auto"/>
                <w:right w:val="none" w:sz="0" w:space="0" w:color="auto"/>
              </w:divBdr>
              <w:divsChild>
                <w:div w:id="728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518">
      <w:bodyDiv w:val="1"/>
      <w:marLeft w:val="0"/>
      <w:marRight w:val="0"/>
      <w:marTop w:val="0"/>
      <w:marBottom w:val="0"/>
      <w:divBdr>
        <w:top w:val="none" w:sz="0" w:space="0" w:color="auto"/>
        <w:left w:val="none" w:sz="0" w:space="0" w:color="auto"/>
        <w:bottom w:val="none" w:sz="0" w:space="0" w:color="auto"/>
        <w:right w:val="none" w:sz="0" w:space="0" w:color="auto"/>
      </w:divBdr>
      <w:divsChild>
        <w:div w:id="580336538">
          <w:marLeft w:val="0"/>
          <w:marRight w:val="0"/>
          <w:marTop w:val="0"/>
          <w:marBottom w:val="0"/>
          <w:divBdr>
            <w:top w:val="none" w:sz="0" w:space="0" w:color="auto"/>
            <w:left w:val="none" w:sz="0" w:space="0" w:color="auto"/>
            <w:bottom w:val="none" w:sz="0" w:space="0" w:color="auto"/>
            <w:right w:val="none" w:sz="0" w:space="0" w:color="auto"/>
          </w:divBdr>
          <w:divsChild>
            <w:div w:id="1341657223">
              <w:marLeft w:val="0"/>
              <w:marRight w:val="0"/>
              <w:marTop w:val="0"/>
              <w:marBottom w:val="0"/>
              <w:divBdr>
                <w:top w:val="none" w:sz="0" w:space="0" w:color="auto"/>
                <w:left w:val="none" w:sz="0" w:space="0" w:color="auto"/>
                <w:bottom w:val="none" w:sz="0" w:space="0" w:color="auto"/>
                <w:right w:val="none" w:sz="0" w:space="0" w:color="auto"/>
              </w:divBdr>
              <w:divsChild>
                <w:div w:id="13985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4166">
      <w:bodyDiv w:val="1"/>
      <w:marLeft w:val="0"/>
      <w:marRight w:val="0"/>
      <w:marTop w:val="0"/>
      <w:marBottom w:val="0"/>
      <w:divBdr>
        <w:top w:val="none" w:sz="0" w:space="0" w:color="auto"/>
        <w:left w:val="none" w:sz="0" w:space="0" w:color="auto"/>
        <w:bottom w:val="none" w:sz="0" w:space="0" w:color="auto"/>
        <w:right w:val="none" w:sz="0" w:space="0" w:color="auto"/>
      </w:divBdr>
      <w:divsChild>
        <w:div w:id="629168439">
          <w:marLeft w:val="0"/>
          <w:marRight w:val="0"/>
          <w:marTop w:val="0"/>
          <w:marBottom w:val="0"/>
          <w:divBdr>
            <w:top w:val="none" w:sz="0" w:space="0" w:color="auto"/>
            <w:left w:val="none" w:sz="0" w:space="0" w:color="auto"/>
            <w:bottom w:val="none" w:sz="0" w:space="0" w:color="auto"/>
            <w:right w:val="none" w:sz="0" w:space="0" w:color="auto"/>
          </w:divBdr>
          <w:divsChild>
            <w:div w:id="1817529737">
              <w:marLeft w:val="0"/>
              <w:marRight w:val="0"/>
              <w:marTop w:val="0"/>
              <w:marBottom w:val="0"/>
              <w:divBdr>
                <w:top w:val="none" w:sz="0" w:space="0" w:color="auto"/>
                <w:left w:val="none" w:sz="0" w:space="0" w:color="auto"/>
                <w:bottom w:val="none" w:sz="0" w:space="0" w:color="auto"/>
                <w:right w:val="none" w:sz="0" w:space="0" w:color="auto"/>
              </w:divBdr>
              <w:divsChild>
                <w:div w:id="610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835">
      <w:bodyDiv w:val="1"/>
      <w:marLeft w:val="0"/>
      <w:marRight w:val="0"/>
      <w:marTop w:val="0"/>
      <w:marBottom w:val="0"/>
      <w:divBdr>
        <w:top w:val="none" w:sz="0" w:space="0" w:color="auto"/>
        <w:left w:val="none" w:sz="0" w:space="0" w:color="auto"/>
        <w:bottom w:val="none" w:sz="0" w:space="0" w:color="auto"/>
        <w:right w:val="none" w:sz="0" w:space="0" w:color="auto"/>
      </w:divBdr>
    </w:div>
    <w:div w:id="1177380561">
      <w:bodyDiv w:val="1"/>
      <w:marLeft w:val="0"/>
      <w:marRight w:val="0"/>
      <w:marTop w:val="0"/>
      <w:marBottom w:val="0"/>
      <w:divBdr>
        <w:top w:val="none" w:sz="0" w:space="0" w:color="auto"/>
        <w:left w:val="none" w:sz="0" w:space="0" w:color="auto"/>
        <w:bottom w:val="none" w:sz="0" w:space="0" w:color="auto"/>
        <w:right w:val="none" w:sz="0" w:space="0" w:color="auto"/>
      </w:divBdr>
    </w:div>
    <w:div w:id="1288388245">
      <w:bodyDiv w:val="1"/>
      <w:marLeft w:val="0"/>
      <w:marRight w:val="0"/>
      <w:marTop w:val="0"/>
      <w:marBottom w:val="0"/>
      <w:divBdr>
        <w:top w:val="none" w:sz="0" w:space="0" w:color="auto"/>
        <w:left w:val="none" w:sz="0" w:space="0" w:color="auto"/>
        <w:bottom w:val="none" w:sz="0" w:space="0" w:color="auto"/>
        <w:right w:val="none" w:sz="0" w:space="0" w:color="auto"/>
      </w:divBdr>
      <w:divsChild>
        <w:div w:id="607078954">
          <w:marLeft w:val="0"/>
          <w:marRight w:val="0"/>
          <w:marTop w:val="0"/>
          <w:marBottom w:val="0"/>
          <w:divBdr>
            <w:top w:val="none" w:sz="0" w:space="0" w:color="auto"/>
            <w:left w:val="none" w:sz="0" w:space="0" w:color="auto"/>
            <w:bottom w:val="none" w:sz="0" w:space="0" w:color="auto"/>
            <w:right w:val="none" w:sz="0" w:space="0" w:color="auto"/>
          </w:divBdr>
          <w:divsChild>
            <w:div w:id="245503262">
              <w:marLeft w:val="0"/>
              <w:marRight w:val="0"/>
              <w:marTop w:val="0"/>
              <w:marBottom w:val="0"/>
              <w:divBdr>
                <w:top w:val="none" w:sz="0" w:space="0" w:color="auto"/>
                <w:left w:val="none" w:sz="0" w:space="0" w:color="auto"/>
                <w:bottom w:val="none" w:sz="0" w:space="0" w:color="auto"/>
                <w:right w:val="none" w:sz="0" w:space="0" w:color="auto"/>
              </w:divBdr>
              <w:divsChild>
                <w:div w:id="4712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2827">
      <w:bodyDiv w:val="1"/>
      <w:marLeft w:val="0"/>
      <w:marRight w:val="0"/>
      <w:marTop w:val="0"/>
      <w:marBottom w:val="0"/>
      <w:divBdr>
        <w:top w:val="none" w:sz="0" w:space="0" w:color="auto"/>
        <w:left w:val="none" w:sz="0" w:space="0" w:color="auto"/>
        <w:bottom w:val="none" w:sz="0" w:space="0" w:color="auto"/>
        <w:right w:val="none" w:sz="0" w:space="0" w:color="auto"/>
      </w:divBdr>
      <w:divsChild>
        <w:div w:id="1373000929">
          <w:marLeft w:val="0"/>
          <w:marRight w:val="0"/>
          <w:marTop w:val="0"/>
          <w:marBottom w:val="0"/>
          <w:divBdr>
            <w:top w:val="none" w:sz="0" w:space="0" w:color="auto"/>
            <w:left w:val="none" w:sz="0" w:space="0" w:color="auto"/>
            <w:bottom w:val="none" w:sz="0" w:space="0" w:color="auto"/>
            <w:right w:val="none" w:sz="0" w:space="0" w:color="auto"/>
          </w:divBdr>
          <w:divsChild>
            <w:div w:id="1502627150">
              <w:marLeft w:val="0"/>
              <w:marRight w:val="0"/>
              <w:marTop w:val="0"/>
              <w:marBottom w:val="0"/>
              <w:divBdr>
                <w:top w:val="none" w:sz="0" w:space="0" w:color="auto"/>
                <w:left w:val="none" w:sz="0" w:space="0" w:color="auto"/>
                <w:bottom w:val="none" w:sz="0" w:space="0" w:color="auto"/>
                <w:right w:val="none" w:sz="0" w:space="0" w:color="auto"/>
              </w:divBdr>
              <w:divsChild>
                <w:div w:id="191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0804">
      <w:bodyDiv w:val="1"/>
      <w:marLeft w:val="0"/>
      <w:marRight w:val="0"/>
      <w:marTop w:val="0"/>
      <w:marBottom w:val="0"/>
      <w:divBdr>
        <w:top w:val="none" w:sz="0" w:space="0" w:color="auto"/>
        <w:left w:val="none" w:sz="0" w:space="0" w:color="auto"/>
        <w:bottom w:val="none" w:sz="0" w:space="0" w:color="auto"/>
        <w:right w:val="none" w:sz="0" w:space="0" w:color="auto"/>
      </w:divBdr>
      <w:divsChild>
        <w:div w:id="1592733605">
          <w:marLeft w:val="0"/>
          <w:marRight w:val="0"/>
          <w:marTop w:val="0"/>
          <w:marBottom w:val="0"/>
          <w:divBdr>
            <w:top w:val="none" w:sz="0" w:space="0" w:color="auto"/>
            <w:left w:val="none" w:sz="0" w:space="0" w:color="auto"/>
            <w:bottom w:val="none" w:sz="0" w:space="0" w:color="auto"/>
            <w:right w:val="none" w:sz="0" w:space="0" w:color="auto"/>
          </w:divBdr>
          <w:divsChild>
            <w:div w:id="1479178521">
              <w:marLeft w:val="0"/>
              <w:marRight w:val="0"/>
              <w:marTop w:val="0"/>
              <w:marBottom w:val="0"/>
              <w:divBdr>
                <w:top w:val="none" w:sz="0" w:space="0" w:color="auto"/>
                <w:left w:val="none" w:sz="0" w:space="0" w:color="auto"/>
                <w:bottom w:val="none" w:sz="0" w:space="0" w:color="auto"/>
                <w:right w:val="none" w:sz="0" w:space="0" w:color="auto"/>
              </w:divBdr>
              <w:divsChild>
                <w:div w:id="12200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9504">
      <w:bodyDiv w:val="1"/>
      <w:marLeft w:val="0"/>
      <w:marRight w:val="0"/>
      <w:marTop w:val="0"/>
      <w:marBottom w:val="0"/>
      <w:divBdr>
        <w:top w:val="none" w:sz="0" w:space="0" w:color="auto"/>
        <w:left w:val="none" w:sz="0" w:space="0" w:color="auto"/>
        <w:bottom w:val="none" w:sz="0" w:space="0" w:color="auto"/>
        <w:right w:val="none" w:sz="0" w:space="0" w:color="auto"/>
      </w:divBdr>
      <w:divsChild>
        <w:div w:id="277762190">
          <w:marLeft w:val="0"/>
          <w:marRight w:val="0"/>
          <w:marTop w:val="0"/>
          <w:marBottom w:val="0"/>
          <w:divBdr>
            <w:top w:val="none" w:sz="0" w:space="0" w:color="auto"/>
            <w:left w:val="none" w:sz="0" w:space="0" w:color="auto"/>
            <w:bottom w:val="none" w:sz="0" w:space="0" w:color="auto"/>
            <w:right w:val="none" w:sz="0" w:space="0" w:color="auto"/>
          </w:divBdr>
          <w:divsChild>
            <w:div w:id="1985112639">
              <w:marLeft w:val="0"/>
              <w:marRight w:val="0"/>
              <w:marTop w:val="0"/>
              <w:marBottom w:val="0"/>
              <w:divBdr>
                <w:top w:val="none" w:sz="0" w:space="0" w:color="auto"/>
                <w:left w:val="none" w:sz="0" w:space="0" w:color="auto"/>
                <w:bottom w:val="none" w:sz="0" w:space="0" w:color="auto"/>
                <w:right w:val="none" w:sz="0" w:space="0" w:color="auto"/>
              </w:divBdr>
              <w:divsChild>
                <w:div w:id="19642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129466819">
      <w:bodyDiv w:val="1"/>
      <w:marLeft w:val="0"/>
      <w:marRight w:val="0"/>
      <w:marTop w:val="0"/>
      <w:marBottom w:val="0"/>
      <w:divBdr>
        <w:top w:val="none" w:sz="0" w:space="0" w:color="auto"/>
        <w:left w:val="none" w:sz="0" w:space="0" w:color="auto"/>
        <w:bottom w:val="none" w:sz="0" w:space="0" w:color="auto"/>
        <w:right w:val="none" w:sz="0" w:space="0" w:color="auto"/>
      </w:divBdr>
      <w:divsChild>
        <w:div w:id="1211652262">
          <w:marLeft w:val="0"/>
          <w:marRight w:val="0"/>
          <w:marTop w:val="0"/>
          <w:marBottom w:val="0"/>
          <w:divBdr>
            <w:top w:val="none" w:sz="0" w:space="0" w:color="auto"/>
            <w:left w:val="none" w:sz="0" w:space="0" w:color="auto"/>
            <w:bottom w:val="none" w:sz="0" w:space="0" w:color="auto"/>
            <w:right w:val="none" w:sz="0" w:space="0" w:color="auto"/>
          </w:divBdr>
          <w:divsChild>
            <w:div w:id="1536767208">
              <w:marLeft w:val="0"/>
              <w:marRight w:val="0"/>
              <w:marTop w:val="0"/>
              <w:marBottom w:val="0"/>
              <w:divBdr>
                <w:top w:val="none" w:sz="0" w:space="0" w:color="auto"/>
                <w:left w:val="none" w:sz="0" w:space="0" w:color="auto"/>
                <w:bottom w:val="none" w:sz="0" w:space="0" w:color="auto"/>
                <w:right w:val="none" w:sz="0" w:space="0" w:color="auto"/>
              </w:divBdr>
              <w:divsChild>
                <w:div w:id="121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5</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dc:creator>
  <cp:keywords/>
  <dc:description/>
  <cp:lastModifiedBy>Peggy Ngila</cp:lastModifiedBy>
  <cp:revision>1</cp:revision>
  <dcterms:created xsi:type="dcterms:W3CDTF">2018-08-30T10:38:00Z</dcterms:created>
  <dcterms:modified xsi:type="dcterms:W3CDTF">2020-05-21T10:17:00Z</dcterms:modified>
</cp:coreProperties>
</file>