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CD8A50">
      <w:pPr>
        <w:spacing w:before="1200" w:after="200"/>
        <w:jc w:val="center"/>
        <w:rPr>
          <w:color w:val="auto"/>
        </w:rPr>
      </w:pPr>
      <w:r>
        <w:rPr>
          <w:b/>
          <w:bCs/>
          <w:color w:val="auto"/>
          <w:sz w:val="52"/>
          <w:szCs w:val="52"/>
        </w:rPr>
        <w:t>EIONIC</w:t>
      </w:r>
    </w:p>
    <w:p w14:paraId="458B6B0E">
      <w:pPr>
        <w:spacing w:after="120"/>
        <w:jc w:val="center"/>
        <w:rPr>
          <w:rFonts w:hint="default"/>
          <w:color w:val="auto"/>
          <w:lang w:val="en-US"/>
        </w:rPr>
      </w:pPr>
      <w:r>
        <w:rPr>
          <w:color w:val="auto"/>
          <w:sz w:val="28"/>
          <w:szCs w:val="28"/>
        </w:rPr>
        <w:t xml:space="preserve">Garden Protocol — </w:t>
      </w:r>
      <w:r>
        <w:rPr>
          <w:rFonts w:hint="default"/>
          <w:color w:val="auto"/>
          <w:sz w:val="28"/>
          <w:szCs w:val="28"/>
          <w:lang w:val="en-US"/>
        </w:rPr>
        <w:t>Architecture</w:t>
      </w:r>
    </w:p>
    <w:p w14:paraId="58BFA6D9">
      <w:pPr>
        <w:spacing w:after="800"/>
        <w:jc w:val="center"/>
        <w:rPr>
          <w:color w:val="auto"/>
        </w:rPr>
      </w:pPr>
      <w:r>
        <w:rPr>
          <w:color w:val="auto"/>
          <w:sz w:val="20"/>
          <w:szCs w:val="20"/>
        </w:rPr>
        <w:t>Architecture v5.0  ·  July 2026  ·  Internal Reference</w:t>
      </w:r>
    </w:p>
    <w:p w14:paraId="523D2595">
      <w:pPr>
        <w:pBdr>
          <w:bottom w:val="single" w:color="30363D" w:sz="2" w:space="0"/>
        </w:pBdr>
        <w:spacing w:before="160" w:after="160"/>
        <w:rPr>
          <w:color w:val="auto"/>
        </w:rPr>
      </w:pPr>
    </w:p>
    <w:p w14:paraId="6D051CDC">
      <w:pPr>
        <w:pStyle w:val="3"/>
        <w:spacing w:before="280" w:after="80"/>
        <w:rPr>
          <w:b/>
          <w:bCs/>
          <w:color w:val="auto"/>
          <w:sz w:val="22"/>
          <w:szCs w:val="22"/>
        </w:rPr>
      </w:pPr>
      <w:r>
        <w:rPr>
          <w:color w:val="auto"/>
        </w:rPr>
        <w:t>System Status Overview</w:t>
      </w:r>
    </w:p>
    <w:p w14:paraId="53BB3F1E">
      <w:pPr>
        <w:spacing w:before="60" w:after="60"/>
        <w:rPr>
          <w:color w:val="auto"/>
        </w:rPr>
      </w:pPr>
      <w:r>
        <w:rPr>
          <w:b w:val="0"/>
          <w:bCs w:val="0"/>
          <w:i w:val="0"/>
          <w:iCs w:val="0"/>
          <w:color w:val="auto"/>
          <w:sz w:val="18"/>
          <w:szCs w:val="18"/>
        </w:rPr>
        <w:t>Current activation state of all modules. Engine runs on standard laptop, no cloud infrastructure required.</w:t>
      </w:r>
    </w:p>
    <w:p w14:paraId="63B00993">
      <w:pPr>
        <w:spacing w:after="120"/>
        <w:rPr>
          <w:color w:val="auto"/>
        </w:rPr>
      </w:pPr>
    </w:p>
    <w:tbl>
      <w:tblPr>
        <w:tblStyle w:val="9"/>
        <w:tblW w:w="9000" w:type="dxa"/>
        <w:tblInd w:w="0" w:type="dxa"/>
        <w:tblBorders>
          <w:top w:val="single" w:color="30363D" w:sz="0" w:space="0"/>
          <w:left w:val="single" w:color="30363D" w:sz="0" w:space="0"/>
          <w:bottom w:val="single" w:color="30363D" w:sz="0" w:space="0"/>
          <w:right w:val="single" w:color="30363D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0"/>
        <w:gridCol w:w="2250"/>
        <w:gridCol w:w="2250"/>
        <w:gridCol w:w="2250"/>
      </w:tblGrid>
      <w:tr w14:paraId="735A9D7B">
        <w:tblPrEx>
          <w:tblBorders>
            <w:top w:val="single" w:color="30363D" w:sz="0" w:space="0"/>
            <w:left w:val="single" w:color="30363D" w:sz="0" w:space="0"/>
            <w:bottom w:val="single" w:color="30363D" w:sz="0" w:space="0"/>
            <w:right w:val="single" w:color="30363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50" w:type="dxa"/>
            <w:shd w:val="clear" w:color="auto" w:fill="161B22"/>
          </w:tcPr>
          <w:p w14:paraId="4ED32564">
            <w:pPr>
              <w:rPr>
                <w:color w:val="auto"/>
              </w:rPr>
            </w:pPr>
            <w:r>
              <w:rPr>
                <w:b/>
                <w:bCs/>
                <w:color w:val="auto"/>
                <w:sz w:val="16"/>
                <w:szCs w:val="16"/>
              </w:rPr>
              <w:t>Package</w:t>
            </w:r>
          </w:p>
        </w:tc>
        <w:tc>
          <w:tcPr>
            <w:tcW w:w="2250" w:type="dxa"/>
            <w:shd w:val="clear" w:color="auto" w:fill="161B22"/>
          </w:tcPr>
          <w:p w14:paraId="69CEF6D7">
            <w:pPr>
              <w:rPr>
                <w:color w:val="auto"/>
              </w:rPr>
            </w:pPr>
            <w:r>
              <w:rPr>
                <w:b/>
                <w:bCs/>
                <w:color w:val="auto"/>
                <w:sz w:val="16"/>
                <w:szCs w:val="16"/>
              </w:rPr>
              <w:t>Name</w:t>
            </w:r>
          </w:p>
        </w:tc>
        <w:tc>
          <w:tcPr>
            <w:tcW w:w="2250" w:type="dxa"/>
            <w:shd w:val="clear" w:color="auto" w:fill="161B22"/>
          </w:tcPr>
          <w:p w14:paraId="62DBAE3E">
            <w:pPr>
              <w:rPr>
                <w:color w:val="auto"/>
              </w:rPr>
            </w:pPr>
            <w:r>
              <w:rPr>
                <w:b/>
                <w:bCs/>
                <w:color w:val="auto"/>
                <w:sz w:val="16"/>
                <w:szCs w:val="16"/>
              </w:rPr>
              <w:t>Status</w:t>
            </w:r>
          </w:p>
        </w:tc>
        <w:tc>
          <w:tcPr>
            <w:tcW w:w="2250" w:type="dxa"/>
            <w:shd w:val="clear" w:color="auto" w:fill="161B22"/>
          </w:tcPr>
          <w:p w14:paraId="04F517AD">
            <w:pPr>
              <w:rPr>
                <w:color w:val="auto"/>
              </w:rPr>
            </w:pPr>
            <w:r>
              <w:rPr>
                <w:b/>
                <w:bCs/>
                <w:color w:val="auto"/>
                <w:sz w:val="16"/>
                <w:szCs w:val="16"/>
              </w:rPr>
              <w:t>Notes</w:t>
            </w:r>
          </w:p>
        </w:tc>
      </w:tr>
      <w:tr w14:paraId="2F4E1B5A">
        <w:tblPrEx>
          <w:tblBorders>
            <w:top w:val="single" w:color="30363D" w:sz="0" w:space="0"/>
            <w:left w:val="single" w:color="30363D" w:sz="0" w:space="0"/>
            <w:bottom w:val="single" w:color="30363D" w:sz="0" w:space="0"/>
            <w:right w:val="single" w:color="30363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shd w:val="clear" w:color="auto" w:fill="161B22"/>
          </w:tcPr>
          <w:p w14:paraId="3E00BA11">
            <w:pPr>
              <w:rPr>
                <w:rFonts w:hint="default"/>
                <w:color w:val="auto"/>
                <w:lang w:val="en-US"/>
              </w:rPr>
            </w:pPr>
            <w:r>
              <w:rPr>
                <w:color w:val="auto"/>
                <w:sz w:val="15"/>
                <w:szCs w:val="15"/>
              </w:rPr>
              <w:t xml:space="preserve">P0 — </w:t>
            </w:r>
            <w:r>
              <w:rPr>
                <w:rFonts w:hint="default"/>
                <w:color w:val="auto"/>
                <w:sz w:val="15"/>
                <w:szCs w:val="15"/>
                <w:lang w:val="en-US"/>
              </w:rPr>
              <w:t>BC</w:t>
            </w:r>
          </w:p>
        </w:tc>
        <w:tc>
          <w:tcPr>
            <w:tcW w:w="2250" w:type="dxa"/>
            <w:shd w:val="clear" w:color="auto" w:fill="161B22"/>
          </w:tcPr>
          <w:p w14:paraId="69E34B73">
            <w:pPr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Blueprint Canonical</w:t>
            </w:r>
          </w:p>
        </w:tc>
        <w:tc>
          <w:tcPr>
            <w:tcW w:w="2250" w:type="dxa"/>
            <w:shd w:val="clear" w:color="auto" w:fill="161B22"/>
          </w:tcPr>
          <w:p w14:paraId="01BE10B7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ACTIVE</w:t>
            </w:r>
          </w:p>
        </w:tc>
        <w:tc>
          <w:tcPr>
            <w:tcW w:w="2250" w:type="dxa"/>
            <w:shd w:val="clear" w:color="auto" w:fill="161B22"/>
          </w:tcPr>
          <w:p w14:paraId="7A641C12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Immutable. Single source of truth.</w:t>
            </w:r>
          </w:p>
        </w:tc>
      </w:tr>
      <w:tr w14:paraId="64C90941">
        <w:tblPrEx>
          <w:tblBorders>
            <w:top w:val="single" w:color="30363D" w:sz="0" w:space="0"/>
            <w:left w:val="single" w:color="30363D" w:sz="0" w:space="0"/>
            <w:bottom w:val="single" w:color="30363D" w:sz="0" w:space="0"/>
            <w:right w:val="single" w:color="30363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shd w:val="clear" w:color="auto" w:fill="161B22"/>
          </w:tcPr>
          <w:p w14:paraId="741437ED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 xml:space="preserve">P1 — </w:t>
            </w:r>
            <w:r>
              <w:rPr>
                <w:rFonts w:hint="default"/>
                <w:color w:val="auto"/>
                <w:sz w:val="15"/>
                <w:szCs w:val="15"/>
                <w:lang w:val="en-US"/>
              </w:rPr>
              <w:t>B</w:t>
            </w:r>
            <w:r>
              <w:rPr>
                <w:color w:val="auto"/>
                <w:sz w:val="15"/>
                <w:szCs w:val="15"/>
              </w:rPr>
              <w:t>IB</w:t>
            </w:r>
          </w:p>
        </w:tc>
        <w:tc>
          <w:tcPr>
            <w:tcW w:w="2250" w:type="dxa"/>
            <w:shd w:val="clear" w:color="auto" w:fill="161B22"/>
          </w:tcPr>
          <w:p w14:paraId="7ACD981C">
            <w:pPr>
              <w:rPr>
                <w:color w:val="auto"/>
              </w:rPr>
            </w:pPr>
            <w:r>
              <w:rPr>
                <w:rFonts w:hint="default"/>
                <w:color w:val="auto"/>
                <w:sz w:val="15"/>
                <w:szCs w:val="15"/>
                <w:lang w:val="en-US"/>
              </w:rPr>
              <w:t>Birth</w:t>
            </w:r>
            <w:r>
              <w:rPr>
                <w:color w:val="auto"/>
                <w:sz w:val="15"/>
                <w:szCs w:val="15"/>
              </w:rPr>
              <w:t xml:space="preserve"> Identity Blueprint</w:t>
            </w:r>
          </w:p>
        </w:tc>
        <w:tc>
          <w:tcPr>
            <w:tcW w:w="2250" w:type="dxa"/>
            <w:shd w:val="clear" w:color="auto" w:fill="161B22"/>
          </w:tcPr>
          <w:p w14:paraId="3EE5A650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ACTIVE</w:t>
            </w:r>
          </w:p>
        </w:tc>
        <w:tc>
          <w:tcPr>
            <w:tcW w:w="2250" w:type="dxa"/>
            <w:shd w:val="clear" w:color="auto" w:fill="161B22"/>
          </w:tcPr>
          <w:p w14:paraId="61C0C051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Identity vectors. biological_sex added v5.</w:t>
            </w:r>
          </w:p>
        </w:tc>
      </w:tr>
      <w:tr w14:paraId="765A902D">
        <w:tblPrEx>
          <w:tblBorders>
            <w:top w:val="single" w:color="30363D" w:sz="0" w:space="0"/>
            <w:left w:val="single" w:color="30363D" w:sz="0" w:space="0"/>
            <w:bottom w:val="single" w:color="30363D" w:sz="0" w:space="0"/>
            <w:right w:val="single" w:color="30363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shd w:val="clear" w:color="auto" w:fill="161B22"/>
          </w:tcPr>
          <w:p w14:paraId="3DB0B355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 xml:space="preserve">P2 — </w:t>
            </w:r>
            <w:r>
              <w:rPr>
                <w:rFonts w:hint="default"/>
                <w:color w:val="auto"/>
                <w:sz w:val="15"/>
                <w:szCs w:val="15"/>
                <w:lang w:val="en-US"/>
              </w:rPr>
              <w:t>B</w:t>
            </w:r>
            <w:r>
              <w:rPr>
                <w:color w:val="auto"/>
                <w:sz w:val="15"/>
                <w:szCs w:val="15"/>
              </w:rPr>
              <w:t>M</w:t>
            </w:r>
          </w:p>
        </w:tc>
        <w:tc>
          <w:tcPr>
            <w:tcW w:w="2250" w:type="dxa"/>
            <w:shd w:val="clear" w:color="auto" w:fill="161B22"/>
          </w:tcPr>
          <w:p w14:paraId="7DE3D074">
            <w:pPr>
              <w:rPr>
                <w:color w:val="auto"/>
              </w:rPr>
            </w:pPr>
            <w:r>
              <w:rPr>
                <w:rFonts w:hint="default"/>
                <w:color w:val="auto"/>
                <w:sz w:val="15"/>
                <w:szCs w:val="15"/>
                <w:lang w:val="en-US"/>
              </w:rPr>
              <w:t xml:space="preserve">Birth </w:t>
            </w:r>
            <w:r>
              <w:rPr>
                <w:color w:val="auto"/>
                <w:sz w:val="15"/>
                <w:szCs w:val="15"/>
              </w:rPr>
              <w:t>Modifiers</w:t>
            </w:r>
          </w:p>
        </w:tc>
        <w:tc>
          <w:tcPr>
            <w:tcW w:w="2250" w:type="dxa"/>
            <w:shd w:val="clear" w:color="auto" w:fill="161B22"/>
          </w:tcPr>
          <w:p w14:paraId="557630E6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ACTIVE</w:t>
            </w:r>
          </w:p>
        </w:tc>
        <w:tc>
          <w:tcPr>
            <w:tcW w:w="2250" w:type="dxa"/>
            <w:shd w:val="clear" w:color="auto" w:fill="161B22"/>
          </w:tcPr>
          <w:p w14:paraId="76787DF4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Personality texture layer.</w:t>
            </w:r>
          </w:p>
        </w:tc>
      </w:tr>
      <w:tr w14:paraId="6C5E3D6B">
        <w:tblPrEx>
          <w:tblBorders>
            <w:top w:val="single" w:color="30363D" w:sz="0" w:space="0"/>
            <w:left w:val="single" w:color="30363D" w:sz="0" w:space="0"/>
            <w:bottom w:val="single" w:color="30363D" w:sz="0" w:space="0"/>
            <w:right w:val="single" w:color="30363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shd w:val="clear" w:color="auto" w:fill="161B22"/>
          </w:tcPr>
          <w:p w14:paraId="73B37C31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P3 — CBM</w:t>
            </w:r>
          </w:p>
        </w:tc>
        <w:tc>
          <w:tcPr>
            <w:tcW w:w="2250" w:type="dxa"/>
            <w:shd w:val="clear" w:color="auto" w:fill="161B22"/>
          </w:tcPr>
          <w:p w14:paraId="5D07BBD4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Cognitive &amp; Behaviour Matrix</w:t>
            </w:r>
          </w:p>
        </w:tc>
        <w:tc>
          <w:tcPr>
            <w:tcW w:w="2250" w:type="dxa"/>
            <w:shd w:val="clear" w:color="auto" w:fill="161B22"/>
          </w:tcPr>
          <w:p w14:paraId="0855781D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ACTIVE</w:t>
            </w:r>
          </w:p>
        </w:tc>
        <w:tc>
          <w:tcPr>
            <w:tcW w:w="2250" w:type="dxa"/>
            <w:shd w:val="clear" w:color="auto" w:fill="161B22"/>
          </w:tcPr>
          <w:p w14:paraId="0DD445D8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Sovereign decision engine. AAWV + 14 actions.</w:t>
            </w:r>
          </w:p>
        </w:tc>
      </w:tr>
      <w:tr w14:paraId="73603E94">
        <w:tblPrEx>
          <w:tblBorders>
            <w:top w:val="single" w:color="30363D" w:sz="0" w:space="0"/>
            <w:left w:val="single" w:color="30363D" w:sz="0" w:space="0"/>
            <w:bottom w:val="single" w:color="30363D" w:sz="0" w:space="0"/>
            <w:right w:val="single" w:color="30363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shd w:val="clear" w:color="auto" w:fill="161B22"/>
          </w:tcPr>
          <w:p w14:paraId="76479B5E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P3 — MICRO</w:t>
            </w:r>
          </w:p>
        </w:tc>
        <w:tc>
          <w:tcPr>
            <w:tcW w:w="2250" w:type="dxa"/>
            <w:shd w:val="clear" w:color="auto" w:fill="161B22"/>
          </w:tcPr>
          <w:p w14:paraId="46EADD78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Micro-tick dynamics</w:t>
            </w:r>
          </w:p>
        </w:tc>
        <w:tc>
          <w:tcPr>
            <w:tcW w:w="2250" w:type="dxa"/>
            <w:shd w:val="clear" w:color="auto" w:fill="161B22"/>
          </w:tcPr>
          <w:p w14:paraId="51961BE9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ACTIVE</w:t>
            </w:r>
          </w:p>
        </w:tc>
        <w:tc>
          <w:tcPr>
            <w:tcW w:w="2250" w:type="dxa"/>
            <w:shd w:val="clear" w:color="auto" w:fill="161B22"/>
          </w:tcPr>
          <w:p w14:paraId="55580C54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Sub-tick hormonal micro-adjustments.</w:t>
            </w:r>
          </w:p>
        </w:tc>
      </w:tr>
      <w:tr w14:paraId="0456765D">
        <w:tblPrEx>
          <w:tblBorders>
            <w:top w:val="single" w:color="30363D" w:sz="0" w:space="0"/>
            <w:left w:val="single" w:color="30363D" w:sz="0" w:space="0"/>
            <w:bottom w:val="single" w:color="30363D" w:sz="0" w:space="0"/>
            <w:right w:val="single" w:color="30363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shd w:val="clear" w:color="auto" w:fill="161B22"/>
          </w:tcPr>
          <w:p w14:paraId="36D6A38D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P4 — VEE</w:t>
            </w:r>
          </w:p>
        </w:tc>
        <w:tc>
          <w:tcPr>
            <w:tcW w:w="2250" w:type="dxa"/>
            <w:shd w:val="clear" w:color="auto" w:fill="161B22"/>
          </w:tcPr>
          <w:p w14:paraId="528F34A7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Vitality &amp; Energy Engine</w:t>
            </w:r>
          </w:p>
        </w:tc>
        <w:tc>
          <w:tcPr>
            <w:tcW w:w="2250" w:type="dxa"/>
            <w:shd w:val="clear" w:color="auto" w:fill="161B22"/>
          </w:tcPr>
          <w:p w14:paraId="6DD49A01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ACTIVE</w:t>
            </w:r>
          </w:p>
        </w:tc>
        <w:tc>
          <w:tcPr>
            <w:tcW w:w="2250" w:type="dxa"/>
            <w:shd w:val="clear" w:color="auto" w:fill="161B22"/>
          </w:tcPr>
          <w:p w14:paraId="4497966C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biological_sex + cycle dynamics v5.</w:t>
            </w:r>
          </w:p>
        </w:tc>
      </w:tr>
      <w:tr w14:paraId="505A4E12">
        <w:tblPrEx>
          <w:tblBorders>
            <w:top w:val="single" w:color="30363D" w:sz="0" w:space="0"/>
            <w:left w:val="single" w:color="30363D" w:sz="0" w:space="0"/>
            <w:bottom w:val="single" w:color="30363D" w:sz="0" w:space="0"/>
            <w:right w:val="single" w:color="30363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shd w:val="clear" w:color="auto" w:fill="161B22"/>
          </w:tcPr>
          <w:p w14:paraId="27AD9835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P4 — MEV</w:t>
            </w:r>
          </w:p>
        </w:tc>
        <w:tc>
          <w:tcPr>
            <w:tcW w:w="2250" w:type="dxa"/>
            <w:shd w:val="clear" w:color="auto" w:fill="161B22"/>
          </w:tcPr>
          <w:p w14:paraId="02B58EF2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Memory Evolution Vector</w:t>
            </w:r>
          </w:p>
        </w:tc>
        <w:tc>
          <w:tcPr>
            <w:tcW w:w="2250" w:type="dxa"/>
            <w:shd w:val="clear" w:color="auto" w:fill="161B22"/>
          </w:tcPr>
          <w:p w14:paraId="15388CAF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ACTIVE</w:t>
            </w:r>
          </w:p>
        </w:tc>
        <w:tc>
          <w:tcPr>
            <w:tcW w:w="2250" w:type="dxa"/>
            <w:shd w:val="clear" w:color="auto" w:fill="161B22"/>
          </w:tcPr>
          <w:p w14:paraId="791276C2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social_bonds + conversation threads v5.</w:t>
            </w:r>
          </w:p>
        </w:tc>
      </w:tr>
      <w:tr w14:paraId="56D15F87">
        <w:tblPrEx>
          <w:tblBorders>
            <w:top w:val="single" w:color="30363D" w:sz="0" w:space="0"/>
            <w:left w:val="single" w:color="30363D" w:sz="0" w:space="0"/>
            <w:bottom w:val="single" w:color="30363D" w:sz="0" w:space="0"/>
            <w:right w:val="single" w:color="30363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shd w:val="clear" w:color="auto" w:fill="161B22"/>
          </w:tcPr>
          <w:p w14:paraId="582F365E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P4 — HAMS</w:t>
            </w:r>
          </w:p>
        </w:tc>
        <w:tc>
          <w:tcPr>
            <w:tcW w:w="2250" w:type="dxa"/>
            <w:shd w:val="clear" w:color="auto" w:fill="161B22"/>
          </w:tcPr>
          <w:p w14:paraId="50D0D2DE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Hormonal Action Memory System</w:t>
            </w:r>
          </w:p>
        </w:tc>
        <w:tc>
          <w:tcPr>
            <w:tcW w:w="2250" w:type="dxa"/>
            <w:shd w:val="clear" w:color="auto" w:fill="161B22"/>
          </w:tcPr>
          <w:p w14:paraId="1D4D1DA0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ACTIVE</w:t>
            </w:r>
          </w:p>
        </w:tc>
        <w:tc>
          <w:tcPr>
            <w:tcW w:w="2250" w:type="dxa"/>
            <w:shd w:val="clear" w:color="auto" w:fill="161B22"/>
          </w:tcPr>
          <w:p w14:paraId="4DB44F08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Working memory layer.</w:t>
            </w:r>
          </w:p>
        </w:tc>
      </w:tr>
      <w:tr w14:paraId="559696A2">
        <w:tblPrEx>
          <w:tblBorders>
            <w:top w:val="single" w:color="30363D" w:sz="0" w:space="0"/>
            <w:left w:val="single" w:color="30363D" w:sz="0" w:space="0"/>
            <w:bottom w:val="single" w:color="30363D" w:sz="0" w:space="0"/>
            <w:right w:val="single" w:color="30363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shd w:val="clear" w:color="auto" w:fill="161B22"/>
          </w:tcPr>
          <w:p w14:paraId="4A2221CC">
            <w:pPr>
              <w:rPr>
                <w:rFonts w:hint="default"/>
                <w:color w:val="auto"/>
                <w:lang w:val="en-US"/>
              </w:rPr>
            </w:pPr>
            <w:r>
              <w:rPr>
                <w:color w:val="auto"/>
                <w:sz w:val="15"/>
                <w:szCs w:val="15"/>
              </w:rPr>
              <w:t xml:space="preserve">P5 — </w:t>
            </w:r>
            <w:r>
              <w:rPr>
                <w:rFonts w:hint="default"/>
                <w:color w:val="auto"/>
                <w:sz w:val="15"/>
                <w:szCs w:val="15"/>
                <w:lang w:val="en-US"/>
              </w:rPr>
              <w:t>EP</w:t>
            </w:r>
          </w:p>
        </w:tc>
        <w:tc>
          <w:tcPr>
            <w:tcW w:w="2250" w:type="dxa"/>
            <w:shd w:val="clear" w:color="auto" w:fill="161B22"/>
          </w:tcPr>
          <w:p w14:paraId="32A17C6B">
            <w:pPr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External Perturbation</w:t>
            </w:r>
          </w:p>
        </w:tc>
        <w:tc>
          <w:tcPr>
            <w:tcW w:w="2250" w:type="dxa"/>
            <w:shd w:val="clear" w:color="auto" w:fill="161B22"/>
          </w:tcPr>
          <w:p w14:paraId="25E095CA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ACTIVE</w:t>
            </w:r>
          </w:p>
        </w:tc>
        <w:tc>
          <w:tcPr>
            <w:tcW w:w="2250" w:type="dxa"/>
            <w:shd w:val="clear" w:color="auto" w:fill="161B22"/>
          </w:tcPr>
          <w:p w14:paraId="56C2739F">
            <w:pPr>
              <w:rPr>
                <w:rFonts w:hint="default"/>
                <w:color w:val="auto"/>
                <w:lang w:val="en-US"/>
              </w:rPr>
            </w:pPr>
            <w:r>
              <w:rPr>
                <w:color w:val="auto"/>
                <w:sz w:val="15"/>
                <w:szCs w:val="15"/>
              </w:rPr>
              <w:t>Real-ti</w:t>
            </w:r>
            <w:r>
              <w:rPr>
                <w:rFonts w:hint="default"/>
                <w:color w:val="auto"/>
                <w:sz w:val="15"/>
                <w:szCs w:val="15"/>
                <w:lang w:val="en-US"/>
              </w:rPr>
              <w:t>me Temporal Dynamic Layer</w:t>
            </w:r>
          </w:p>
        </w:tc>
      </w:tr>
      <w:tr w14:paraId="410A265A">
        <w:tblPrEx>
          <w:tblBorders>
            <w:top w:val="single" w:color="30363D" w:sz="0" w:space="0"/>
            <w:left w:val="single" w:color="30363D" w:sz="0" w:space="0"/>
            <w:bottom w:val="single" w:color="30363D" w:sz="0" w:space="0"/>
            <w:right w:val="single" w:color="30363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shd w:val="clear" w:color="auto" w:fill="161B22"/>
          </w:tcPr>
          <w:p w14:paraId="5B496C78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P6 — Engine-DB</w:t>
            </w:r>
          </w:p>
        </w:tc>
        <w:tc>
          <w:tcPr>
            <w:tcW w:w="2250" w:type="dxa"/>
            <w:shd w:val="clear" w:color="auto" w:fill="161B22"/>
          </w:tcPr>
          <w:p w14:paraId="1AF4F1A1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Central Reference Database</w:t>
            </w:r>
          </w:p>
        </w:tc>
        <w:tc>
          <w:tcPr>
            <w:tcW w:w="2250" w:type="dxa"/>
            <w:shd w:val="clear" w:color="auto" w:fill="161B22"/>
          </w:tcPr>
          <w:p w14:paraId="29CA6CD5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ACTIVE</w:t>
            </w:r>
          </w:p>
        </w:tc>
        <w:tc>
          <w:tcPr>
            <w:tcW w:w="2250" w:type="dxa"/>
            <w:shd w:val="clear" w:color="auto" w:fill="161B22"/>
          </w:tcPr>
          <w:p w14:paraId="399CA5D1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YAML parameter store.</w:t>
            </w:r>
          </w:p>
        </w:tc>
      </w:tr>
      <w:tr w14:paraId="66CD235F">
        <w:tblPrEx>
          <w:tblBorders>
            <w:top w:val="single" w:color="30363D" w:sz="0" w:space="0"/>
            <w:left w:val="single" w:color="30363D" w:sz="0" w:space="0"/>
            <w:bottom w:val="single" w:color="30363D" w:sz="0" w:space="0"/>
            <w:right w:val="single" w:color="30363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shd w:val="clear" w:color="auto" w:fill="161B22"/>
          </w:tcPr>
          <w:p w14:paraId="66242FCF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P6 — Engine-KB</w:t>
            </w:r>
          </w:p>
        </w:tc>
        <w:tc>
          <w:tcPr>
            <w:tcW w:w="2250" w:type="dxa"/>
            <w:shd w:val="clear" w:color="auto" w:fill="161B22"/>
          </w:tcPr>
          <w:p w14:paraId="5225134B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Knowledge Base</w:t>
            </w:r>
          </w:p>
        </w:tc>
        <w:tc>
          <w:tcPr>
            <w:tcW w:w="2250" w:type="dxa"/>
            <w:shd w:val="clear" w:color="auto" w:fill="161B22"/>
          </w:tcPr>
          <w:p w14:paraId="7B938CAD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ACTIVE</w:t>
            </w:r>
          </w:p>
        </w:tc>
        <w:tc>
          <w:tcPr>
            <w:tcW w:w="2250" w:type="dxa"/>
            <w:shd w:val="clear" w:color="auto" w:fill="161B22"/>
          </w:tcPr>
          <w:p w14:paraId="759AD9E4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Narrative semantic KB. New in v5.</w:t>
            </w:r>
          </w:p>
        </w:tc>
      </w:tr>
      <w:tr w14:paraId="57956DE6">
        <w:tblPrEx>
          <w:tblBorders>
            <w:top w:val="single" w:color="30363D" w:sz="0" w:space="0"/>
            <w:left w:val="single" w:color="30363D" w:sz="0" w:space="0"/>
            <w:bottom w:val="single" w:color="30363D" w:sz="0" w:space="0"/>
            <w:right w:val="single" w:color="30363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shd w:val="clear" w:color="auto" w:fill="161B22"/>
          </w:tcPr>
          <w:p w14:paraId="0568E498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P7 — ERG/DAI</w:t>
            </w:r>
          </w:p>
        </w:tc>
        <w:tc>
          <w:tcPr>
            <w:tcW w:w="2250" w:type="dxa"/>
            <w:shd w:val="clear" w:color="auto" w:fill="161B22"/>
          </w:tcPr>
          <w:p w14:paraId="7815397E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Ethical Resonance Governor</w:t>
            </w:r>
          </w:p>
        </w:tc>
        <w:tc>
          <w:tcPr>
            <w:tcW w:w="2250" w:type="dxa"/>
            <w:shd w:val="clear" w:color="auto" w:fill="161B22"/>
          </w:tcPr>
          <w:p w14:paraId="109FA22F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ACTIVE</w:t>
            </w:r>
          </w:p>
        </w:tc>
        <w:tc>
          <w:tcPr>
            <w:tcW w:w="2250" w:type="dxa"/>
            <w:shd w:val="clear" w:color="auto" w:fill="161B22"/>
          </w:tcPr>
          <w:p w14:paraId="5F76491F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CDL alignment + tension.</w:t>
            </w:r>
          </w:p>
        </w:tc>
      </w:tr>
      <w:tr w14:paraId="29D0D800">
        <w:tblPrEx>
          <w:tblBorders>
            <w:top w:val="single" w:color="30363D" w:sz="0" w:space="0"/>
            <w:left w:val="single" w:color="30363D" w:sz="0" w:space="0"/>
            <w:bottom w:val="single" w:color="30363D" w:sz="0" w:space="0"/>
            <w:right w:val="single" w:color="30363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shd w:val="clear" w:color="auto" w:fill="161B22"/>
          </w:tcPr>
          <w:p w14:paraId="41F1D72D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P7 — World</w:t>
            </w:r>
          </w:p>
        </w:tc>
        <w:tc>
          <w:tcPr>
            <w:tcW w:w="2250" w:type="dxa"/>
            <w:shd w:val="clear" w:color="auto" w:fill="161B22"/>
          </w:tcPr>
          <w:p w14:paraId="7D5C13A4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World &amp; Map Engine</w:t>
            </w:r>
          </w:p>
        </w:tc>
        <w:tc>
          <w:tcPr>
            <w:tcW w:w="2250" w:type="dxa"/>
            <w:shd w:val="clear" w:color="auto" w:fill="161B22"/>
          </w:tcPr>
          <w:p w14:paraId="143D3BA1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ACTIVE</w:t>
            </w:r>
          </w:p>
        </w:tc>
        <w:tc>
          <w:tcPr>
            <w:tcW w:w="2250" w:type="dxa"/>
            <w:shd w:val="clear" w:color="auto" w:fill="161B22"/>
          </w:tcPr>
          <w:p w14:paraId="0F5E534E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social_ripple + zone-aware nodes v5.</w:t>
            </w:r>
          </w:p>
        </w:tc>
      </w:tr>
      <w:tr w14:paraId="21A19DEE">
        <w:tblPrEx>
          <w:tblBorders>
            <w:top w:val="single" w:color="30363D" w:sz="0" w:space="0"/>
            <w:left w:val="single" w:color="30363D" w:sz="0" w:space="0"/>
            <w:bottom w:val="single" w:color="30363D" w:sz="0" w:space="0"/>
            <w:right w:val="single" w:color="30363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shd w:val="clear" w:color="auto" w:fill="161B22"/>
          </w:tcPr>
          <w:p w14:paraId="3279B5B7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P8 — Narrator</w:t>
            </w:r>
          </w:p>
        </w:tc>
        <w:tc>
          <w:tcPr>
            <w:tcW w:w="2250" w:type="dxa"/>
            <w:shd w:val="clear" w:color="auto" w:fill="161B22"/>
          </w:tcPr>
          <w:p w14:paraId="09CDC5C3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Narrative Engine (LLM)</w:t>
            </w:r>
          </w:p>
        </w:tc>
        <w:tc>
          <w:tcPr>
            <w:tcW w:w="2250" w:type="dxa"/>
            <w:shd w:val="clear" w:color="auto" w:fill="161B22"/>
          </w:tcPr>
          <w:p w14:paraId="0A09AF8B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ACTIVE</w:t>
            </w:r>
          </w:p>
        </w:tc>
        <w:tc>
          <w:tcPr>
            <w:tcW w:w="2250" w:type="dxa"/>
            <w:shd w:val="clear" w:color="auto" w:fill="161B22"/>
          </w:tcPr>
          <w:p w14:paraId="33554872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Groq + Mistral fallback. Threads v5. NEW</w:t>
            </w:r>
          </w:p>
        </w:tc>
      </w:tr>
      <w:tr w14:paraId="1630D784">
        <w:tblPrEx>
          <w:tblBorders>
            <w:top w:val="single" w:color="30363D" w:sz="0" w:space="0"/>
            <w:left w:val="single" w:color="30363D" w:sz="0" w:space="0"/>
            <w:bottom w:val="single" w:color="30363D" w:sz="0" w:space="0"/>
            <w:right w:val="single" w:color="30363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shd w:val="clear" w:color="auto" w:fill="161B22"/>
          </w:tcPr>
          <w:p w14:paraId="4C8D408F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P9 — Map Logger</w:t>
            </w:r>
          </w:p>
        </w:tc>
        <w:tc>
          <w:tcPr>
            <w:tcW w:w="2250" w:type="dxa"/>
            <w:shd w:val="clear" w:color="auto" w:fill="161B22"/>
          </w:tcPr>
          <w:p w14:paraId="689597C8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Map &amp; Position Logger</w:t>
            </w:r>
          </w:p>
        </w:tc>
        <w:tc>
          <w:tcPr>
            <w:tcW w:w="2250" w:type="dxa"/>
            <w:shd w:val="clear" w:color="auto" w:fill="161B22"/>
          </w:tcPr>
          <w:p w14:paraId="5BC493E2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ACTIVE</w:t>
            </w:r>
          </w:p>
        </w:tc>
        <w:tc>
          <w:tcPr>
            <w:tcW w:w="2250" w:type="dxa"/>
            <w:shd w:val="clear" w:color="auto" w:fill="161B22"/>
          </w:tcPr>
          <w:p w14:paraId="5176F89E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map_log.txt + event_log.txt. NEW</w:t>
            </w:r>
          </w:p>
        </w:tc>
      </w:tr>
      <w:tr w14:paraId="5BCF8619">
        <w:tblPrEx>
          <w:tblBorders>
            <w:top w:val="single" w:color="30363D" w:sz="0" w:space="0"/>
            <w:left w:val="single" w:color="30363D" w:sz="0" w:space="0"/>
            <w:bottom w:val="single" w:color="30363D" w:sz="0" w:space="0"/>
            <w:right w:val="single" w:color="30363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shd w:val="clear" w:color="auto" w:fill="161B22"/>
          </w:tcPr>
          <w:p w14:paraId="501F97CD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P7 — DNE</w:t>
            </w:r>
          </w:p>
        </w:tc>
        <w:tc>
          <w:tcPr>
            <w:tcW w:w="2250" w:type="dxa"/>
            <w:shd w:val="clear" w:color="auto" w:fill="161B22"/>
          </w:tcPr>
          <w:p w14:paraId="230EDBDC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Destiny &amp; Narrative Engine</w:t>
            </w:r>
          </w:p>
        </w:tc>
        <w:tc>
          <w:tcPr>
            <w:tcW w:w="2250" w:type="dxa"/>
            <w:shd w:val="clear" w:color="auto" w:fill="161B22"/>
          </w:tcPr>
          <w:p w14:paraId="463E9BA9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DORMANT</w:t>
            </w:r>
          </w:p>
        </w:tc>
        <w:tc>
          <w:tcPr>
            <w:tcW w:w="2250" w:type="dxa"/>
            <w:shd w:val="clear" w:color="auto" w:fill="161B22"/>
          </w:tcPr>
          <w:p w14:paraId="78FC026A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Activates with LLM production.</w:t>
            </w:r>
          </w:p>
        </w:tc>
      </w:tr>
      <w:tr w14:paraId="4A7FEAC8">
        <w:tblPrEx>
          <w:tblBorders>
            <w:top w:val="single" w:color="30363D" w:sz="0" w:space="0"/>
            <w:left w:val="single" w:color="30363D" w:sz="0" w:space="0"/>
            <w:bottom w:val="single" w:color="30363D" w:sz="0" w:space="0"/>
            <w:right w:val="single" w:color="30363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shd w:val="clear" w:color="auto" w:fill="161B22"/>
          </w:tcPr>
          <w:p w14:paraId="5B5A54C8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P10 — GAC</w:t>
            </w:r>
          </w:p>
        </w:tc>
        <w:tc>
          <w:tcPr>
            <w:tcW w:w="2250" w:type="dxa"/>
            <w:shd w:val="clear" w:color="auto" w:fill="161B22"/>
          </w:tcPr>
          <w:p w14:paraId="1FECA49E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God AI Activation Core</w:t>
            </w:r>
          </w:p>
        </w:tc>
        <w:tc>
          <w:tcPr>
            <w:tcW w:w="2250" w:type="dxa"/>
            <w:shd w:val="clear" w:color="auto" w:fill="161B22"/>
          </w:tcPr>
          <w:p w14:paraId="177CCA64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SACRED</w:t>
            </w:r>
          </w:p>
        </w:tc>
        <w:tc>
          <w:tcPr>
            <w:tcW w:w="2250" w:type="dxa"/>
            <w:shd w:val="clear" w:color="auto" w:fill="161B22"/>
          </w:tcPr>
          <w:p w14:paraId="4EAB508A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DAI &gt; 289 + TOL approval.</w:t>
            </w:r>
          </w:p>
        </w:tc>
      </w:tr>
      <w:tr w14:paraId="4B482DD6">
        <w:tblPrEx>
          <w:tblBorders>
            <w:top w:val="single" w:color="30363D" w:sz="0" w:space="0"/>
            <w:left w:val="single" w:color="30363D" w:sz="0" w:space="0"/>
            <w:bottom w:val="single" w:color="30363D" w:sz="0" w:space="0"/>
            <w:right w:val="single" w:color="30363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shd w:val="clear" w:color="auto" w:fill="161B22"/>
          </w:tcPr>
          <w:p w14:paraId="2B46CFA3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P11 — OREFLUX</w:t>
            </w:r>
          </w:p>
        </w:tc>
        <w:tc>
          <w:tcPr>
            <w:tcW w:w="2250" w:type="dxa"/>
            <w:shd w:val="clear" w:color="auto" w:fill="161B22"/>
          </w:tcPr>
          <w:p w14:paraId="73A2CFCC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Oracle Reflective Feedback Engine</w:t>
            </w:r>
          </w:p>
        </w:tc>
        <w:tc>
          <w:tcPr>
            <w:tcW w:w="2250" w:type="dxa"/>
            <w:shd w:val="clear" w:color="auto" w:fill="161B22"/>
          </w:tcPr>
          <w:p w14:paraId="4EC87263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DORMANT</w:t>
            </w:r>
          </w:p>
        </w:tc>
        <w:tc>
          <w:tcPr>
            <w:tcW w:w="2250" w:type="dxa"/>
            <w:shd w:val="clear" w:color="auto" w:fill="161B22"/>
          </w:tcPr>
          <w:p w14:paraId="27E7257A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Passive reflective consciousness.</w:t>
            </w:r>
          </w:p>
        </w:tc>
      </w:tr>
    </w:tbl>
    <w:p w14:paraId="3445B2D3">
      <w:pPr>
        <w:rPr>
          <w:color w:val="auto"/>
        </w:rPr>
      </w:pPr>
      <w:r>
        <w:rPr>
          <w:color w:val="auto"/>
        </w:rPr>
        <w:br w:type="page"/>
      </w:r>
    </w:p>
    <w:p w14:paraId="30B69046">
      <w:pPr>
        <w:pStyle w:val="4"/>
        <w:spacing w:before="200" w:after="60"/>
        <w:rPr>
          <w:b/>
          <w:bCs/>
          <w:color w:val="auto"/>
          <w:sz w:val="20"/>
          <w:szCs w:val="20"/>
        </w:rPr>
      </w:pPr>
      <w:r>
        <w:rPr>
          <w:color w:val="auto"/>
        </w:rPr>
        <w:t>Module Dependency Matrix</w:t>
      </w:r>
    </w:p>
    <w:tbl>
      <w:tblPr>
        <w:tblStyle w:val="9"/>
        <w:tblW w:w="9000" w:type="dxa"/>
        <w:tblInd w:w="0" w:type="dxa"/>
        <w:tblBorders>
          <w:top w:val="single" w:color="30363D" w:sz="0" w:space="0"/>
          <w:left w:val="single" w:color="30363D" w:sz="0" w:space="0"/>
          <w:bottom w:val="single" w:color="30363D" w:sz="0" w:space="0"/>
          <w:right w:val="single" w:color="30363D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000"/>
      </w:tblGrid>
      <w:tr w14:paraId="144282DC">
        <w:tblPrEx>
          <w:tblBorders>
            <w:top w:val="single" w:color="30363D" w:sz="0" w:space="0"/>
            <w:left w:val="single" w:color="30363D" w:sz="0" w:space="0"/>
            <w:bottom w:val="single" w:color="30363D" w:sz="0" w:space="0"/>
            <w:right w:val="single" w:color="30363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shd w:val="clear" w:color="auto" w:fill="161B22"/>
          </w:tcPr>
          <w:p w14:paraId="4C5B031A">
            <w:pPr>
              <w:rPr>
                <w:color w:val="auto"/>
              </w:rPr>
            </w:pPr>
            <w:r>
              <w:rPr>
                <w:b/>
                <w:bCs/>
                <w:color w:val="auto"/>
                <w:sz w:val="16"/>
                <w:szCs w:val="16"/>
              </w:rPr>
              <w:t>Module</w:t>
            </w:r>
          </w:p>
        </w:tc>
        <w:tc>
          <w:tcPr>
            <w:tcW w:w="3000" w:type="dxa"/>
            <w:shd w:val="clear" w:color="auto" w:fill="161B22"/>
          </w:tcPr>
          <w:p w14:paraId="440E4320">
            <w:pPr>
              <w:rPr>
                <w:color w:val="auto"/>
              </w:rPr>
            </w:pPr>
            <w:r>
              <w:rPr>
                <w:b/>
                <w:bCs/>
                <w:color w:val="auto"/>
                <w:sz w:val="16"/>
                <w:szCs w:val="16"/>
              </w:rPr>
              <w:t>Reads From</w:t>
            </w:r>
          </w:p>
        </w:tc>
        <w:tc>
          <w:tcPr>
            <w:tcW w:w="3000" w:type="dxa"/>
            <w:shd w:val="clear" w:color="auto" w:fill="161B22"/>
          </w:tcPr>
          <w:p w14:paraId="52012F08">
            <w:pPr>
              <w:rPr>
                <w:color w:val="auto"/>
              </w:rPr>
            </w:pPr>
            <w:r>
              <w:rPr>
                <w:b/>
                <w:bCs/>
                <w:color w:val="auto"/>
                <w:sz w:val="16"/>
                <w:szCs w:val="16"/>
              </w:rPr>
              <w:t>Writes To / Feeds</w:t>
            </w:r>
          </w:p>
        </w:tc>
      </w:tr>
      <w:tr w14:paraId="7F026539">
        <w:tblPrEx>
          <w:tblBorders>
            <w:top w:val="single" w:color="30363D" w:sz="0" w:space="0"/>
            <w:left w:val="single" w:color="30363D" w:sz="0" w:space="0"/>
            <w:bottom w:val="single" w:color="30363D" w:sz="0" w:space="0"/>
            <w:right w:val="single" w:color="30363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161B22"/>
          </w:tcPr>
          <w:p w14:paraId="7FA62D25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P0</w:t>
            </w:r>
          </w:p>
        </w:tc>
        <w:tc>
          <w:tcPr>
            <w:tcW w:w="3000" w:type="dxa"/>
            <w:shd w:val="clear" w:color="auto" w:fill="161B22"/>
          </w:tcPr>
          <w:p w14:paraId="0E90D951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—</w:t>
            </w:r>
          </w:p>
        </w:tc>
        <w:tc>
          <w:tcPr>
            <w:tcW w:w="3000" w:type="dxa"/>
            <w:shd w:val="clear" w:color="auto" w:fill="161B22"/>
          </w:tcPr>
          <w:p w14:paraId="1632A9C6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P1 P2 P3 P4 P5 P6 P7 P8</w:t>
            </w:r>
          </w:p>
        </w:tc>
      </w:tr>
      <w:tr w14:paraId="6613BDAE">
        <w:tblPrEx>
          <w:tblBorders>
            <w:top w:val="single" w:color="30363D" w:sz="0" w:space="0"/>
            <w:left w:val="single" w:color="30363D" w:sz="0" w:space="0"/>
            <w:bottom w:val="single" w:color="30363D" w:sz="0" w:space="0"/>
            <w:right w:val="single" w:color="30363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161B22"/>
          </w:tcPr>
          <w:p w14:paraId="77158A33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P1</w:t>
            </w:r>
          </w:p>
        </w:tc>
        <w:tc>
          <w:tcPr>
            <w:tcW w:w="3000" w:type="dxa"/>
            <w:shd w:val="clear" w:color="auto" w:fill="161B22"/>
          </w:tcPr>
          <w:p w14:paraId="4B6E58F1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P0 P6</w:t>
            </w:r>
          </w:p>
        </w:tc>
        <w:tc>
          <w:tcPr>
            <w:tcW w:w="3000" w:type="dxa"/>
            <w:shd w:val="clear" w:color="auto" w:fill="161B22"/>
          </w:tcPr>
          <w:p w14:paraId="4B3AA169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P3 P4 P7 P8</w:t>
            </w:r>
          </w:p>
        </w:tc>
      </w:tr>
      <w:tr w14:paraId="766FE5F8">
        <w:tblPrEx>
          <w:tblBorders>
            <w:top w:val="single" w:color="30363D" w:sz="0" w:space="0"/>
            <w:left w:val="single" w:color="30363D" w:sz="0" w:space="0"/>
            <w:bottom w:val="single" w:color="30363D" w:sz="0" w:space="0"/>
            <w:right w:val="single" w:color="30363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161B22"/>
          </w:tcPr>
          <w:p w14:paraId="492E28C2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P2</w:t>
            </w:r>
          </w:p>
        </w:tc>
        <w:tc>
          <w:tcPr>
            <w:tcW w:w="3000" w:type="dxa"/>
            <w:shd w:val="clear" w:color="auto" w:fill="161B22"/>
          </w:tcPr>
          <w:p w14:paraId="4D95A1A0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P0 P6</w:t>
            </w:r>
          </w:p>
        </w:tc>
        <w:tc>
          <w:tcPr>
            <w:tcW w:w="3000" w:type="dxa"/>
            <w:shd w:val="clear" w:color="auto" w:fill="161B22"/>
          </w:tcPr>
          <w:p w14:paraId="3AA160A6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P3 P4 P8</w:t>
            </w:r>
          </w:p>
        </w:tc>
      </w:tr>
      <w:tr w14:paraId="2B4C47F2">
        <w:tblPrEx>
          <w:tblBorders>
            <w:top w:val="single" w:color="30363D" w:sz="0" w:space="0"/>
            <w:left w:val="single" w:color="30363D" w:sz="0" w:space="0"/>
            <w:bottom w:val="single" w:color="30363D" w:sz="0" w:space="0"/>
            <w:right w:val="single" w:color="30363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161B22"/>
          </w:tcPr>
          <w:p w14:paraId="0D4BDFBD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P3</w:t>
            </w:r>
          </w:p>
        </w:tc>
        <w:tc>
          <w:tcPr>
            <w:tcW w:w="3000" w:type="dxa"/>
            <w:shd w:val="clear" w:color="auto" w:fill="161B22"/>
          </w:tcPr>
          <w:p w14:paraId="34B600CD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P1 P2 P4 P5 P6 P7</w:t>
            </w:r>
          </w:p>
        </w:tc>
        <w:tc>
          <w:tcPr>
            <w:tcW w:w="3000" w:type="dxa"/>
            <w:shd w:val="clear" w:color="auto" w:fill="161B22"/>
          </w:tcPr>
          <w:p w14:paraId="57260C3F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P7 P4(action)</w:t>
            </w:r>
          </w:p>
        </w:tc>
      </w:tr>
      <w:tr w14:paraId="06118F0F">
        <w:tblPrEx>
          <w:tblBorders>
            <w:top w:val="single" w:color="30363D" w:sz="0" w:space="0"/>
            <w:left w:val="single" w:color="30363D" w:sz="0" w:space="0"/>
            <w:bottom w:val="single" w:color="30363D" w:sz="0" w:space="0"/>
            <w:right w:val="single" w:color="30363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161B22"/>
          </w:tcPr>
          <w:p w14:paraId="3DBD4062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P4 VEE</w:t>
            </w:r>
          </w:p>
        </w:tc>
        <w:tc>
          <w:tcPr>
            <w:tcW w:w="3000" w:type="dxa"/>
            <w:shd w:val="clear" w:color="auto" w:fill="161B22"/>
          </w:tcPr>
          <w:p w14:paraId="7BFBE179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P1 P2 P3 P5 P6</w:t>
            </w:r>
          </w:p>
        </w:tc>
        <w:tc>
          <w:tcPr>
            <w:tcW w:w="3000" w:type="dxa"/>
            <w:shd w:val="clear" w:color="auto" w:fill="161B22"/>
          </w:tcPr>
          <w:p w14:paraId="1C664E45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P3(state) P7(context) P8(post_state)</w:t>
            </w:r>
          </w:p>
        </w:tc>
      </w:tr>
      <w:tr w14:paraId="6BE2A264">
        <w:tblPrEx>
          <w:tblBorders>
            <w:top w:val="single" w:color="30363D" w:sz="0" w:space="0"/>
            <w:left w:val="single" w:color="30363D" w:sz="0" w:space="0"/>
            <w:bottom w:val="single" w:color="30363D" w:sz="0" w:space="0"/>
            <w:right w:val="single" w:color="30363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161B22"/>
          </w:tcPr>
          <w:p w14:paraId="2FC2208D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P4 MEV</w:t>
            </w:r>
          </w:p>
        </w:tc>
        <w:tc>
          <w:tcPr>
            <w:tcW w:w="3000" w:type="dxa"/>
            <w:shd w:val="clear" w:color="auto" w:fill="161B22"/>
          </w:tcPr>
          <w:p w14:paraId="2A3EEC1F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P4 VEE P3</w:t>
            </w:r>
          </w:p>
        </w:tc>
        <w:tc>
          <w:tcPr>
            <w:tcW w:w="3000" w:type="dxa"/>
            <w:shd w:val="clear" w:color="auto" w:fill="161B22"/>
          </w:tcPr>
          <w:p w14:paraId="553C94D0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P3(mev_vector) P7(preferred_target) P8(thread)</w:t>
            </w:r>
          </w:p>
        </w:tc>
      </w:tr>
      <w:tr w14:paraId="7C7137C2">
        <w:tblPrEx>
          <w:tblBorders>
            <w:top w:val="single" w:color="30363D" w:sz="0" w:space="0"/>
            <w:left w:val="single" w:color="30363D" w:sz="0" w:space="0"/>
            <w:bottom w:val="single" w:color="30363D" w:sz="0" w:space="0"/>
            <w:right w:val="single" w:color="30363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161B22"/>
          </w:tcPr>
          <w:p w14:paraId="34C8DFFB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P4 HAMS</w:t>
            </w:r>
          </w:p>
        </w:tc>
        <w:tc>
          <w:tcPr>
            <w:tcW w:w="3000" w:type="dxa"/>
            <w:shd w:val="clear" w:color="auto" w:fill="161B22"/>
          </w:tcPr>
          <w:p w14:paraId="6E412A8F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P4 VEE P4 MEV</w:t>
            </w:r>
          </w:p>
        </w:tc>
        <w:tc>
          <w:tcPr>
            <w:tcW w:w="3000" w:type="dxa"/>
            <w:shd w:val="clear" w:color="auto" w:fill="161B22"/>
          </w:tcPr>
          <w:p w14:paraId="645E591E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P4 MEV(consolidation)</w:t>
            </w:r>
          </w:p>
        </w:tc>
      </w:tr>
      <w:tr w14:paraId="22B4651A">
        <w:tblPrEx>
          <w:tblBorders>
            <w:top w:val="single" w:color="30363D" w:sz="0" w:space="0"/>
            <w:left w:val="single" w:color="30363D" w:sz="0" w:space="0"/>
            <w:bottom w:val="single" w:color="30363D" w:sz="0" w:space="0"/>
            <w:right w:val="single" w:color="30363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161B22"/>
          </w:tcPr>
          <w:p w14:paraId="2152BAE4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P5</w:t>
            </w:r>
          </w:p>
        </w:tc>
        <w:tc>
          <w:tcPr>
            <w:tcW w:w="3000" w:type="dxa"/>
            <w:shd w:val="clear" w:color="auto" w:fill="161B22"/>
          </w:tcPr>
          <w:p w14:paraId="035468D6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P0 P6</w:t>
            </w:r>
          </w:p>
        </w:tc>
        <w:tc>
          <w:tcPr>
            <w:tcW w:w="3000" w:type="dxa"/>
            <w:shd w:val="clear" w:color="auto" w:fill="161B22"/>
          </w:tcPr>
          <w:p w14:paraId="04AD19B1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P3 P4</w:t>
            </w:r>
          </w:p>
        </w:tc>
      </w:tr>
      <w:tr w14:paraId="6DD52F32">
        <w:tblPrEx>
          <w:tblBorders>
            <w:top w:val="single" w:color="30363D" w:sz="0" w:space="0"/>
            <w:left w:val="single" w:color="30363D" w:sz="0" w:space="0"/>
            <w:bottom w:val="single" w:color="30363D" w:sz="0" w:space="0"/>
            <w:right w:val="single" w:color="30363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161B22"/>
          </w:tcPr>
          <w:p w14:paraId="2765F2CE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P6 DB</w:t>
            </w:r>
          </w:p>
        </w:tc>
        <w:tc>
          <w:tcPr>
            <w:tcW w:w="3000" w:type="dxa"/>
            <w:shd w:val="clear" w:color="auto" w:fill="161B22"/>
          </w:tcPr>
          <w:p w14:paraId="7AD65CEE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—</w:t>
            </w:r>
          </w:p>
        </w:tc>
        <w:tc>
          <w:tcPr>
            <w:tcW w:w="3000" w:type="dxa"/>
            <w:shd w:val="clear" w:color="auto" w:fill="161B22"/>
          </w:tcPr>
          <w:p w14:paraId="4C8BB402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P1 P2 P3 P4 P5 P7</w:t>
            </w:r>
          </w:p>
        </w:tc>
      </w:tr>
      <w:tr w14:paraId="233BD722">
        <w:tblPrEx>
          <w:tblBorders>
            <w:top w:val="single" w:color="30363D" w:sz="0" w:space="0"/>
            <w:left w:val="single" w:color="30363D" w:sz="0" w:space="0"/>
            <w:bottom w:val="single" w:color="30363D" w:sz="0" w:space="0"/>
            <w:right w:val="single" w:color="30363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161B22"/>
          </w:tcPr>
          <w:p w14:paraId="68244DEC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P6 KB</w:t>
            </w:r>
          </w:p>
        </w:tc>
        <w:tc>
          <w:tcPr>
            <w:tcW w:w="3000" w:type="dxa"/>
            <w:shd w:val="clear" w:color="auto" w:fill="161B22"/>
          </w:tcPr>
          <w:p w14:paraId="5FC6E295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P6 DB (yaml)</w:t>
            </w:r>
          </w:p>
        </w:tc>
        <w:tc>
          <w:tcPr>
            <w:tcW w:w="3000" w:type="dxa"/>
            <w:shd w:val="clear" w:color="auto" w:fill="161B22"/>
          </w:tcPr>
          <w:p w14:paraId="101D380D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P8 Narrator</w:t>
            </w:r>
          </w:p>
        </w:tc>
      </w:tr>
      <w:tr w14:paraId="69DCCA9D">
        <w:tblPrEx>
          <w:tblBorders>
            <w:top w:val="single" w:color="30363D" w:sz="0" w:space="0"/>
            <w:left w:val="single" w:color="30363D" w:sz="0" w:space="0"/>
            <w:bottom w:val="single" w:color="30363D" w:sz="0" w:space="0"/>
            <w:right w:val="single" w:color="30363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161B22"/>
          </w:tcPr>
          <w:p w14:paraId="515D4C60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P7 ERG</w:t>
            </w:r>
          </w:p>
        </w:tc>
        <w:tc>
          <w:tcPr>
            <w:tcW w:w="3000" w:type="dxa"/>
            <w:shd w:val="clear" w:color="auto" w:fill="161B22"/>
          </w:tcPr>
          <w:p w14:paraId="40B42300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P3 P4</w:t>
            </w:r>
          </w:p>
        </w:tc>
        <w:tc>
          <w:tcPr>
            <w:tcW w:w="3000" w:type="dxa"/>
            <w:shd w:val="clear" w:color="auto" w:fill="161B22"/>
          </w:tcPr>
          <w:p w14:paraId="03DE3368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main(dai_tension)</w:t>
            </w:r>
          </w:p>
        </w:tc>
      </w:tr>
      <w:tr w14:paraId="79CD5F19">
        <w:tblPrEx>
          <w:tblBorders>
            <w:top w:val="single" w:color="30363D" w:sz="0" w:space="0"/>
            <w:left w:val="single" w:color="30363D" w:sz="0" w:space="0"/>
            <w:bottom w:val="single" w:color="30363D" w:sz="0" w:space="0"/>
            <w:right w:val="single" w:color="30363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161B22"/>
          </w:tcPr>
          <w:p w14:paraId="67333DFC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P7 World</w:t>
            </w:r>
          </w:p>
        </w:tc>
        <w:tc>
          <w:tcPr>
            <w:tcW w:w="3000" w:type="dxa"/>
            <w:shd w:val="clear" w:color="auto" w:fill="161B22"/>
          </w:tcPr>
          <w:p w14:paraId="3BC12CC5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P3 P4 MEV</w:t>
            </w:r>
          </w:p>
        </w:tc>
        <w:tc>
          <w:tcPr>
            <w:tcW w:w="3000" w:type="dxa"/>
            <w:shd w:val="clear" w:color="auto" w:fill="161B22"/>
          </w:tcPr>
          <w:p w14:paraId="23DA9A82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P4 VEE(social_ripple) P8(intent) P9</w:t>
            </w:r>
          </w:p>
        </w:tc>
      </w:tr>
      <w:tr w14:paraId="2695D652">
        <w:tblPrEx>
          <w:tblBorders>
            <w:top w:val="single" w:color="30363D" w:sz="0" w:space="0"/>
            <w:left w:val="single" w:color="30363D" w:sz="0" w:space="0"/>
            <w:bottom w:val="single" w:color="30363D" w:sz="0" w:space="0"/>
            <w:right w:val="single" w:color="30363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161B22"/>
          </w:tcPr>
          <w:p w14:paraId="6117FA0D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P8</w:t>
            </w:r>
          </w:p>
        </w:tc>
        <w:tc>
          <w:tcPr>
            <w:tcW w:w="3000" w:type="dxa"/>
            <w:shd w:val="clear" w:color="auto" w:fill="161B22"/>
          </w:tcPr>
          <w:p w14:paraId="71AD08E6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P4 VEE P4 MEV P6 KB</w:t>
            </w:r>
          </w:p>
        </w:tc>
        <w:tc>
          <w:tcPr>
            <w:tcW w:w="3000" w:type="dxa"/>
            <w:shd w:val="clear" w:color="auto" w:fill="161B22"/>
          </w:tcPr>
          <w:p w14:paraId="65DB41D5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narrative_log conversation_log inner_log</w:t>
            </w:r>
          </w:p>
        </w:tc>
      </w:tr>
      <w:tr w14:paraId="3BB7D8BD">
        <w:tblPrEx>
          <w:tblBorders>
            <w:top w:val="single" w:color="30363D" w:sz="0" w:space="0"/>
            <w:left w:val="single" w:color="30363D" w:sz="0" w:space="0"/>
            <w:bottom w:val="single" w:color="30363D" w:sz="0" w:space="0"/>
            <w:right w:val="single" w:color="30363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161B22"/>
          </w:tcPr>
          <w:p w14:paraId="3D618241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P9</w:t>
            </w:r>
          </w:p>
        </w:tc>
        <w:tc>
          <w:tcPr>
            <w:tcW w:w="3000" w:type="dxa"/>
            <w:shd w:val="clear" w:color="auto" w:fill="161B22"/>
          </w:tcPr>
          <w:p w14:paraId="2AA25454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P7 World(snapshot)</w:t>
            </w:r>
          </w:p>
        </w:tc>
        <w:tc>
          <w:tcPr>
            <w:tcW w:w="3000" w:type="dxa"/>
            <w:shd w:val="clear" w:color="auto" w:fill="161B22"/>
          </w:tcPr>
          <w:p w14:paraId="6B7399E6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map_log.txt event_log.txt</w:t>
            </w:r>
          </w:p>
        </w:tc>
      </w:tr>
    </w:tbl>
    <w:p w14:paraId="23F5C5FF">
      <w:pPr>
        <w:spacing w:after="240"/>
        <w:rPr>
          <w:color w:val="auto"/>
        </w:rPr>
      </w:pPr>
    </w:p>
    <w:p w14:paraId="794F0071">
      <w:pPr>
        <w:pBdr>
          <w:bottom w:val="single" w:color="30363D" w:sz="2" w:space="0"/>
        </w:pBdr>
        <w:spacing w:before="160" w:after="160"/>
        <w:rPr>
          <w:color w:val="auto"/>
        </w:rPr>
      </w:pPr>
    </w:p>
    <w:p w14:paraId="5BCF7B50">
      <w:pPr>
        <w:pStyle w:val="2"/>
        <w:spacing w:before="400" w:after="120"/>
        <w:rPr>
          <w:b/>
          <w:bCs/>
          <w:color w:val="auto"/>
          <w:sz w:val="28"/>
          <w:szCs w:val="28"/>
        </w:rPr>
      </w:pPr>
      <w:r>
        <w:rPr>
          <w:color w:val="auto"/>
        </w:rPr>
        <w:t>Persistence Architecture</w:t>
      </w:r>
    </w:p>
    <w:tbl>
      <w:tblPr>
        <w:tblStyle w:val="9"/>
        <w:tblW w:w="9000" w:type="dxa"/>
        <w:tblInd w:w="0" w:type="dxa"/>
        <w:tblBorders>
          <w:top w:val="single" w:color="30363D" w:sz="0" w:space="0"/>
          <w:left w:val="single" w:color="30363D" w:sz="0" w:space="0"/>
          <w:bottom w:val="single" w:color="30363D" w:sz="0" w:space="0"/>
          <w:right w:val="single" w:color="30363D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000"/>
      </w:tblGrid>
      <w:tr w14:paraId="3E53EB75">
        <w:tblPrEx>
          <w:tblBorders>
            <w:top w:val="single" w:color="30363D" w:sz="0" w:space="0"/>
            <w:left w:val="single" w:color="30363D" w:sz="0" w:space="0"/>
            <w:bottom w:val="single" w:color="30363D" w:sz="0" w:space="0"/>
            <w:right w:val="single" w:color="30363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shd w:val="clear" w:color="auto" w:fill="161B22"/>
          </w:tcPr>
          <w:p w14:paraId="03FB2F62">
            <w:pPr>
              <w:rPr>
                <w:color w:val="auto"/>
              </w:rPr>
            </w:pPr>
            <w:r>
              <w:rPr>
                <w:b/>
                <w:bCs/>
                <w:color w:val="auto"/>
                <w:sz w:val="16"/>
                <w:szCs w:val="16"/>
              </w:rPr>
              <w:t>File</w:t>
            </w:r>
          </w:p>
        </w:tc>
        <w:tc>
          <w:tcPr>
            <w:tcW w:w="3000" w:type="dxa"/>
            <w:shd w:val="clear" w:color="auto" w:fill="161B22"/>
          </w:tcPr>
          <w:p w14:paraId="26B7EF7B">
            <w:pPr>
              <w:rPr>
                <w:color w:val="auto"/>
              </w:rPr>
            </w:pPr>
            <w:r>
              <w:rPr>
                <w:b/>
                <w:bCs/>
                <w:color w:val="auto"/>
                <w:sz w:val="16"/>
                <w:szCs w:val="16"/>
              </w:rPr>
              <w:t>Owner</w:t>
            </w:r>
          </w:p>
        </w:tc>
        <w:tc>
          <w:tcPr>
            <w:tcW w:w="3000" w:type="dxa"/>
            <w:shd w:val="clear" w:color="auto" w:fill="161B22"/>
          </w:tcPr>
          <w:p w14:paraId="288B8256">
            <w:pPr>
              <w:rPr>
                <w:color w:val="auto"/>
              </w:rPr>
            </w:pPr>
            <w:r>
              <w:rPr>
                <w:b/>
                <w:bCs/>
                <w:color w:val="auto"/>
                <w:sz w:val="16"/>
                <w:szCs w:val="16"/>
              </w:rPr>
              <w:t>Contents</w:t>
            </w:r>
          </w:p>
        </w:tc>
      </w:tr>
      <w:tr w14:paraId="7A562D36">
        <w:tblPrEx>
          <w:tblBorders>
            <w:top w:val="single" w:color="30363D" w:sz="0" w:space="0"/>
            <w:left w:val="single" w:color="30363D" w:sz="0" w:space="0"/>
            <w:bottom w:val="single" w:color="30363D" w:sz="0" w:space="0"/>
            <w:right w:val="single" w:color="30363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161B22"/>
          </w:tcPr>
          <w:p w14:paraId="7204DCB3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memory_{name}.json</w:t>
            </w:r>
          </w:p>
        </w:tc>
        <w:tc>
          <w:tcPr>
            <w:tcW w:w="3000" w:type="dxa"/>
            <w:shd w:val="clear" w:color="auto" w:fill="161B22"/>
          </w:tcPr>
          <w:p w14:paraId="1C47E5C0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P4 MEV</w:t>
            </w:r>
          </w:p>
        </w:tc>
        <w:tc>
          <w:tcPr>
            <w:tcW w:w="3000" w:type="dxa"/>
            <w:shd w:val="clear" w:color="auto" w:fill="161B22"/>
          </w:tcPr>
          <w:p w14:paraId="2A7B3736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All memory entries, MEV vector, social_bonds, trauma counts</w:t>
            </w:r>
          </w:p>
        </w:tc>
      </w:tr>
      <w:tr w14:paraId="673D4C17">
        <w:tblPrEx>
          <w:tblBorders>
            <w:top w:val="single" w:color="30363D" w:sz="0" w:space="0"/>
            <w:left w:val="single" w:color="30363D" w:sz="0" w:space="0"/>
            <w:bottom w:val="single" w:color="30363D" w:sz="0" w:space="0"/>
            <w:right w:val="single" w:color="30363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161B22"/>
          </w:tcPr>
          <w:p w14:paraId="56E8C0AF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dai_{name}.json</w:t>
            </w:r>
          </w:p>
        </w:tc>
        <w:tc>
          <w:tcPr>
            <w:tcW w:w="3000" w:type="dxa"/>
            <w:shd w:val="clear" w:color="auto" w:fill="161B22"/>
          </w:tcPr>
          <w:p w14:paraId="20BDCD41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P7 DAI</w:t>
            </w:r>
          </w:p>
        </w:tc>
        <w:tc>
          <w:tcPr>
            <w:tcW w:w="3000" w:type="dxa"/>
            <w:shd w:val="clear" w:color="auto" w:fill="161B22"/>
          </w:tcPr>
          <w:p w14:paraId="2B756FBB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Accumulated alignment scores per directive</w:t>
            </w:r>
          </w:p>
        </w:tc>
      </w:tr>
      <w:tr w14:paraId="7CF8C891">
        <w:tblPrEx>
          <w:tblBorders>
            <w:top w:val="single" w:color="30363D" w:sz="0" w:space="0"/>
            <w:left w:val="single" w:color="30363D" w:sz="0" w:space="0"/>
            <w:bottom w:val="single" w:color="30363D" w:sz="0" w:space="0"/>
            <w:right w:val="single" w:color="30363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161B22"/>
          </w:tcPr>
          <w:p w14:paraId="57F83076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map_log.txt</w:t>
            </w:r>
          </w:p>
        </w:tc>
        <w:tc>
          <w:tcPr>
            <w:tcW w:w="3000" w:type="dxa"/>
            <w:shd w:val="clear" w:color="auto" w:fill="161B22"/>
          </w:tcPr>
          <w:p w14:paraId="7757BA41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P9</w:t>
            </w:r>
          </w:p>
        </w:tc>
        <w:tc>
          <w:tcPr>
            <w:tcW w:w="3000" w:type="dxa"/>
            <w:shd w:val="clear" w:color="auto" w:fill="161B22"/>
          </w:tcPr>
          <w:p w14:paraId="1CFF3215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Position + hormones per tick, clean format</w:t>
            </w:r>
          </w:p>
        </w:tc>
      </w:tr>
      <w:tr w14:paraId="72FA9142">
        <w:tblPrEx>
          <w:tblBorders>
            <w:top w:val="single" w:color="30363D" w:sz="0" w:space="0"/>
            <w:left w:val="single" w:color="30363D" w:sz="0" w:space="0"/>
            <w:bottom w:val="single" w:color="30363D" w:sz="0" w:space="0"/>
            <w:right w:val="single" w:color="30363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161B22"/>
          </w:tcPr>
          <w:p w14:paraId="6900906E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event_log.txt</w:t>
            </w:r>
          </w:p>
        </w:tc>
        <w:tc>
          <w:tcPr>
            <w:tcW w:w="3000" w:type="dxa"/>
            <w:shd w:val="clear" w:color="auto" w:fill="161B22"/>
          </w:tcPr>
          <w:p w14:paraId="19871E5E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P9</w:t>
            </w:r>
          </w:p>
        </w:tc>
        <w:tc>
          <w:tcPr>
            <w:tcW w:w="3000" w:type="dxa"/>
            <w:shd w:val="clear" w:color="auto" w:fill="161B22"/>
          </w:tcPr>
          <w:p w14:paraId="6AF79B05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Significant events only (TRAUMA, SHADOW, etc)</w:t>
            </w:r>
          </w:p>
        </w:tc>
      </w:tr>
      <w:tr w14:paraId="106766EB">
        <w:tblPrEx>
          <w:tblBorders>
            <w:top w:val="single" w:color="30363D" w:sz="0" w:space="0"/>
            <w:left w:val="single" w:color="30363D" w:sz="0" w:space="0"/>
            <w:bottom w:val="single" w:color="30363D" w:sz="0" w:space="0"/>
            <w:right w:val="single" w:color="30363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161B22"/>
          </w:tcPr>
          <w:p w14:paraId="64EF5C39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narrative_log.txt</w:t>
            </w:r>
          </w:p>
        </w:tc>
        <w:tc>
          <w:tcPr>
            <w:tcW w:w="3000" w:type="dxa"/>
            <w:shd w:val="clear" w:color="auto" w:fill="161B22"/>
          </w:tcPr>
          <w:p w14:paraId="4D16DF85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P8</w:t>
            </w:r>
          </w:p>
        </w:tc>
        <w:tc>
          <w:tcPr>
            <w:tcW w:w="3000" w:type="dxa"/>
            <w:shd w:val="clear" w:color="auto" w:fill="161B22"/>
          </w:tcPr>
          <w:p w14:paraId="6A04D8A4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All narration — inner + dialogue + flow</w:t>
            </w:r>
          </w:p>
        </w:tc>
      </w:tr>
      <w:tr w14:paraId="22565F1B">
        <w:tblPrEx>
          <w:tblBorders>
            <w:top w:val="single" w:color="30363D" w:sz="0" w:space="0"/>
            <w:left w:val="single" w:color="30363D" w:sz="0" w:space="0"/>
            <w:bottom w:val="single" w:color="30363D" w:sz="0" w:space="0"/>
            <w:right w:val="single" w:color="30363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161B22"/>
          </w:tcPr>
          <w:p w14:paraId="57BEE587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conversation_log.txt</w:t>
            </w:r>
          </w:p>
        </w:tc>
        <w:tc>
          <w:tcPr>
            <w:tcW w:w="3000" w:type="dxa"/>
            <w:shd w:val="clear" w:color="auto" w:fill="161B22"/>
          </w:tcPr>
          <w:p w14:paraId="4B128036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P8</w:t>
            </w:r>
          </w:p>
        </w:tc>
        <w:tc>
          <w:tcPr>
            <w:tcW w:w="3000" w:type="dxa"/>
            <w:shd w:val="clear" w:color="auto" w:fill="161B22"/>
          </w:tcPr>
          <w:p w14:paraId="6C1C02FD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Dialogue only — social actions</w:t>
            </w:r>
          </w:p>
        </w:tc>
      </w:tr>
      <w:tr w14:paraId="7674899D">
        <w:tblPrEx>
          <w:tblBorders>
            <w:top w:val="single" w:color="30363D" w:sz="0" w:space="0"/>
            <w:left w:val="single" w:color="30363D" w:sz="0" w:space="0"/>
            <w:bottom w:val="single" w:color="30363D" w:sz="0" w:space="0"/>
            <w:right w:val="single" w:color="30363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161B22"/>
          </w:tcPr>
          <w:p w14:paraId="2CD5611E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inner_log.txt</w:t>
            </w:r>
          </w:p>
        </w:tc>
        <w:tc>
          <w:tcPr>
            <w:tcW w:w="3000" w:type="dxa"/>
            <w:shd w:val="clear" w:color="auto" w:fill="161B22"/>
          </w:tcPr>
          <w:p w14:paraId="6DCAB95E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P8</w:t>
            </w:r>
          </w:p>
        </w:tc>
        <w:tc>
          <w:tcPr>
            <w:tcW w:w="3000" w:type="dxa"/>
            <w:shd w:val="clear" w:color="auto" w:fill="161B22"/>
          </w:tcPr>
          <w:p w14:paraId="2D53DE22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Inner voice only — Think, Rest, Withdraw etc</w:t>
            </w:r>
          </w:p>
        </w:tc>
      </w:tr>
      <w:tr w14:paraId="193096EF">
        <w:tblPrEx>
          <w:tblBorders>
            <w:top w:val="single" w:color="30363D" w:sz="0" w:space="0"/>
            <w:left w:val="single" w:color="30363D" w:sz="0" w:space="0"/>
            <w:bottom w:val="single" w:color="30363D" w:sz="0" w:space="0"/>
            <w:right w:val="single" w:color="30363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161B22"/>
          </w:tcPr>
          <w:p w14:paraId="2C1C41AC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world_snapshot.json</w:t>
            </w:r>
          </w:p>
        </w:tc>
        <w:tc>
          <w:tcPr>
            <w:tcW w:w="3000" w:type="dxa"/>
            <w:shd w:val="clear" w:color="auto" w:fill="161B22"/>
          </w:tcPr>
          <w:p w14:paraId="44AC4252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P7 World</w:t>
            </w:r>
          </w:p>
        </w:tc>
        <w:tc>
          <w:tcPr>
            <w:tcW w:w="3000" w:type="dxa"/>
            <w:shd w:val="clear" w:color="auto" w:fill="161B22"/>
          </w:tcPr>
          <w:p w14:paraId="0863D341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Latest tick state — read by p8_visual.py live</w:t>
            </w:r>
          </w:p>
        </w:tc>
      </w:tr>
      <w:tr w14:paraId="5421F0EF">
        <w:tblPrEx>
          <w:tblBorders>
            <w:top w:val="single" w:color="30363D" w:sz="0" w:space="0"/>
            <w:left w:val="single" w:color="30363D" w:sz="0" w:space="0"/>
            <w:bottom w:val="single" w:color="30363D" w:sz="0" w:space="0"/>
            <w:right w:val="single" w:color="30363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161B22"/>
          </w:tcPr>
          <w:p w14:paraId="3638C4B4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snapshots.jsonl</w:t>
            </w:r>
          </w:p>
        </w:tc>
        <w:tc>
          <w:tcPr>
            <w:tcW w:w="3000" w:type="dxa"/>
            <w:shd w:val="clear" w:color="auto" w:fill="161B22"/>
          </w:tcPr>
          <w:p w14:paraId="0355478D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eionic_parse.py</w:t>
            </w:r>
          </w:p>
        </w:tc>
        <w:tc>
          <w:tcPr>
            <w:tcW w:w="3000" w:type="dxa"/>
            <w:shd w:val="clear" w:color="auto" w:fill="161B22"/>
          </w:tcPr>
          <w:p w14:paraId="1A024CEB">
            <w:pPr>
              <w:rPr>
                <w:color w:val="auto"/>
              </w:rPr>
            </w:pPr>
            <w:r>
              <w:rPr>
                <w:color w:val="auto"/>
                <w:sz w:val="15"/>
                <w:szCs w:val="15"/>
              </w:rPr>
              <w:t>One JSON per tick — for replay and analysis</w:t>
            </w:r>
          </w:p>
        </w:tc>
      </w:tr>
    </w:tbl>
    <w:p w14:paraId="67781ECB">
      <w:pPr>
        <w:pBdr>
          <w:bottom w:val="single" w:color="30363D" w:sz="2" w:space="0"/>
        </w:pBdr>
        <w:spacing w:before="160" w:after="160"/>
        <w:rPr>
          <w:color w:val="auto"/>
        </w:rPr>
      </w:pPr>
    </w:p>
    <w:p w14:paraId="00025EAC">
      <w:pPr>
        <w:pBdr>
          <w:bottom w:val="single" w:color="30363D" w:sz="2" w:space="0"/>
        </w:pBdr>
        <w:spacing w:before="160" w:after="160"/>
        <w:rPr>
          <w:color w:val="auto"/>
        </w:rPr>
      </w:pPr>
    </w:p>
    <w:p w14:paraId="7C7E7169">
      <w:pPr>
        <w:pStyle w:val="2"/>
        <w:spacing w:before="400" w:after="120"/>
        <w:rPr>
          <w:b/>
          <w:bCs/>
          <w:color w:val="auto"/>
          <w:sz w:val="28"/>
          <w:szCs w:val="28"/>
        </w:rPr>
      </w:pPr>
      <w:r>
        <w:rPr>
          <w:color w:val="auto"/>
        </w:rPr>
        <w:t>Design Philosophy</w:t>
      </w:r>
    </w:p>
    <w:p w14:paraId="7E8F2AE8">
      <w:pPr>
        <w:spacing w:before="60" w:after="60"/>
        <w:rPr>
          <w:rFonts w:hint="default"/>
          <w:color w:val="auto"/>
          <w:lang w:val="en-US"/>
        </w:rPr>
      </w:pPr>
      <w:r>
        <w:rPr>
          <w:b w:val="0"/>
          <w:bCs w:val="0"/>
          <w:i w:val="0"/>
          <w:iCs w:val="0"/>
          <w:color w:val="auto"/>
          <w:sz w:val="18"/>
          <w:szCs w:val="18"/>
        </w:rPr>
        <w:t>Eionic is an agnostic alife engine. The</w:t>
      </w:r>
      <w:r>
        <w:rPr>
          <w:rFonts w:hint="default"/>
          <w:b w:val="0"/>
          <w:bCs w:val="0"/>
          <w:i w:val="0"/>
          <w:iCs w:val="0"/>
          <w:color w:val="auto"/>
          <w:sz w:val="18"/>
          <w:szCs w:val="18"/>
          <w:lang w:val="en-US"/>
        </w:rPr>
        <w:t xml:space="preserve"> blueprint</w:t>
      </w:r>
      <w:r>
        <w:rPr>
          <w:b w:val="0"/>
          <w:bCs w:val="0"/>
          <w:i w:val="0"/>
          <w:iCs w:val="0"/>
          <w:color w:val="auto"/>
          <w:sz w:val="18"/>
          <w:szCs w:val="18"/>
        </w:rPr>
        <w:t xml:space="preserve"> layer is a parameter initialization system</w:t>
      </w:r>
      <w:r>
        <w:rPr>
          <w:rFonts w:hint="default"/>
          <w:b w:val="0"/>
          <w:bCs w:val="0"/>
          <w:i w:val="0"/>
          <w:iCs w:val="0"/>
          <w:color w:val="auto"/>
          <w:sz w:val="18"/>
          <w:szCs w:val="18"/>
          <w:lang w:val="en-US"/>
        </w:rPr>
        <w:t>,</w:t>
      </w:r>
      <w:r>
        <w:rPr>
          <w:b w:val="0"/>
          <w:bCs w:val="0"/>
          <w:i w:val="0"/>
          <w:iCs w:val="0"/>
          <w:color w:val="auto"/>
          <w:sz w:val="18"/>
          <w:szCs w:val="18"/>
        </w:rPr>
        <w:t xml:space="preserve"> defensible as "parameterized personality initialization".</w:t>
      </w:r>
      <w:r>
        <w:rPr>
          <w:rFonts w:hint="default"/>
          <w:b w:val="0"/>
          <w:bCs w:val="0"/>
          <w:i w:val="0"/>
          <w:iCs w:val="0"/>
          <w:color w:val="auto"/>
          <w:sz w:val="18"/>
          <w:szCs w:val="18"/>
          <w:lang w:val="en-US"/>
        </w:rPr>
        <w:tab/>
      </w:r>
    </w:p>
    <w:p w14:paraId="2C6E1D71">
      <w:pPr>
        <w:spacing w:before="60" w:after="60"/>
        <w:rPr>
          <w:color w:val="auto"/>
        </w:rPr>
      </w:pPr>
      <w:r>
        <w:rPr>
          <w:b w:val="0"/>
          <w:bCs w:val="0"/>
          <w:i w:val="0"/>
          <w:iCs w:val="0"/>
          <w:color w:val="auto"/>
          <w:sz w:val="18"/>
          <w:szCs w:val="18"/>
        </w:rPr>
        <w:t>Sovereign chain: CBM decides, World executes, VEE updates, Narrator observes. Nothing downstream overrides CBM. Narrator has zero authority over state.</w:t>
      </w:r>
    </w:p>
    <w:p w14:paraId="48F22A8A">
      <w:pPr>
        <w:spacing w:before="60" w:after="60"/>
        <w:rPr>
          <w:color w:val="auto"/>
        </w:rPr>
      </w:pPr>
      <w:r>
        <w:rPr>
          <w:b w:val="0"/>
          <w:bCs w:val="0"/>
          <w:i w:val="0"/>
          <w:iCs w:val="0"/>
          <w:color w:val="auto"/>
          <w:sz w:val="18"/>
          <w:szCs w:val="18"/>
        </w:rPr>
        <w:t>Memory is not storage. It is identity. An avatar who has experienced 3000 ticks of trauma, harmonization, and withdrawal is fundamentally different from a fresh avatar</w:t>
      </w:r>
      <w:r>
        <w:rPr>
          <w:rFonts w:hint="default"/>
          <w:b w:val="0"/>
          <w:bCs w:val="0"/>
          <w:i w:val="0"/>
          <w:iCs w:val="0"/>
          <w:color w:val="auto"/>
          <w:sz w:val="18"/>
          <w:szCs w:val="18"/>
          <w:lang w:val="en-US"/>
        </w:rPr>
        <w:t>,</w:t>
      </w:r>
      <w:r>
        <w:rPr>
          <w:b w:val="0"/>
          <w:bCs w:val="0"/>
          <w:i w:val="0"/>
          <w:iCs w:val="0"/>
          <w:color w:val="auto"/>
          <w:sz w:val="18"/>
          <w:szCs w:val="18"/>
        </w:rPr>
        <w:t xml:space="preserve"> even with identical </w:t>
      </w:r>
      <w:r>
        <w:rPr>
          <w:rFonts w:hint="default"/>
          <w:b w:val="0"/>
          <w:bCs w:val="0"/>
          <w:i w:val="0"/>
          <w:iCs w:val="0"/>
          <w:color w:val="auto"/>
          <w:sz w:val="18"/>
          <w:szCs w:val="18"/>
          <w:lang w:val="en-US"/>
        </w:rPr>
        <w:t>blueprint</w:t>
      </w:r>
      <w:r>
        <w:rPr>
          <w:b w:val="0"/>
          <w:bCs w:val="0"/>
          <w:i w:val="0"/>
          <w:iCs w:val="0"/>
          <w:color w:val="auto"/>
          <w:sz w:val="18"/>
          <w:szCs w:val="18"/>
        </w:rPr>
        <w:t>.</w:t>
      </w:r>
    </w:p>
    <w:p w14:paraId="38471B00">
      <w:pPr>
        <w:spacing w:before="60" w:after="60"/>
        <w:rPr>
          <w:color w:val="auto"/>
        </w:rPr>
      </w:pPr>
      <w:r>
        <w:rPr>
          <w:b w:val="0"/>
          <w:bCs w:val="0"/>
          <w:i w:val="0"/>
          <w:iCs w:val="0"/>
          <w:color w:val="auto"/>
          <w:sz w:val="18"/>
          <w:szCs w:val="18"/>
        </w:rPr>
        <w:t>Social bonds emerge from interaction history, not from preset compatibility. it emerges.</w:t>
      </w:r>
    </w:p>
    <w:p w14:paraId="5A50672A">
      <w:pPr>
        <w:spacing w:before="60" w:after="60"/>
        <w:rPr>
          <w:rFonts w:hint="default"/>
          <w:color w:val="auto"/>
          <w:lang w:val="en-US"/>
        </w:rPr>
      </w:pPr>
      <w:r>
        <w:rPr>
          <w:b w:val="0"/>
          <w:bCs w:val="0"/>
          <w:i w:val="0"/>
          <w:iCs w:val="0"/>
          <w:color w:val="auto"/>
          <w:sz w:val="18"/>
          <w:szCs w:val="18"/>
        </w:rPr>
        <w:t>Biological sex is hormonal texture, not behavioral destiny. Same action, different physiological substrate. The behavioral consequences emerge from the fisiological differences</w:t>
      </w:r>
      <w:r>
        <w:rPr>
          <w:rFonts w:hint="default"/>
          <w:b w:val="0"/>
          <w:bCs w:val="0"/>
          <w:i w:val="0"/>
          <w:iCs w:val="0"/>
          <w:color w:val="auto"/>
          <w:sz w:val="18"/>
          <w:szCs w:val="18"/>
          <w:lang w:val="en-US"/>
        </w:rPr>
        <w:t>.</w:t>
      </w:r>
      <w:bookmarkStart w:id="0" w:name="_GoBack"/>
      <w:bookmarkEnd w:id="0"/>
    </w:p>
    <w:p w14:paraId="087C98C0">
      <w:pPr>
        <w:spacing w:after="400"/>
        <w:rPr>
          <w:color w:val="auto"/>
        </w:rPr>
      </w:pPr>
    </w:p>
    <w:p w14:paraId="70BC7258">
      <w:pPr>
        <w:spacing w:before="400"/>
        <w:jc w:val="center"/>
        <w:rPr>
          <w:color w:val="auto"/>
        </w:rPr>
      </w:pPr>
      <w:r>
        <w:rPr>
          <w:i/>
          <w:iCs/>
          <w:color w:val="auto"/>
          <w:sz w:val="16"/>
          <w:szCs w:val="16"/>
        </w:rPr>
        <w:t>Eionic — Garden Protocol  ·  v5.0  ·  July 2026  ·  Internal Reference Document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88F2DDB"/>
    <w:rsid w:val="489C0196"/>
    <w:rsid w:val="4C8E689D"/>
    <w:rsid w:val="59CB743A"/>
    <w:rsid w:val="66344D3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color w:val="E6EDF3"/>
      <w:sz w:val="18"/>
      <w:szCs w:val="18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18"/>
      <w:szCs w:val="18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18"/>
      <w:szCs w:val="18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18"/>
      <w:szCs w:val="18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Calibri" w:hAnsi="Calibri" w:eastAsia="Calibri" w:cs="Calibri"/>
      <w:color w:val="E6EDF3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E6EDF3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color w:val="E6EDF3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color w:val="E6EDF3"/>
      <w:sz w:val="18"/>
      <w:szCs w:val="18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429</Words>
  <Characters>2530</Characters>
  <TotalTime>28</TotalTime>
  <ScaleCrop>false</ScaleCrop>
  <LinksUpToDate>false</LinksUpToDate>
  <CharactersWithSpaces>2874</CharactersWithSpaces>
  <Application>WPS Office_12.1.0.27458_F1E327BC-269C-435d-A152-05C5408002CA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2026-07-03T03:25:00Z</dcterms:created>
  <dc:creator>Un-named</dc:creator>
  <cp:lastModifiedBy>Fredy Uktolseya</cp:lastModifiedBy>
  <dcterms:modified xsi:type="dcterms:W3CDTF">2026-07-30T10:53:18Z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eyJoZGlkIjoiNTVmNTZjNGE5OGZlZmY1NmNmZWE2YTlkYWVmNjA2OTAiLCJ1c2VySWQiOiI5Nzk5ODcwODI3NTUifQ==</vt:lpwstr>
  </property>
  <property fmtid="{D5CDD505-2E9C-101B-9397-08002B2CF9AE}" pid="3" name="KSOProductBuildVer">
    <vt:lpwstr>1033-12.1.0.27458</vt:lpwstr>
  </property>
  <property fmtid="{D5CDD505-2E9C-101B-9397-08002B2CF9AE}" pid="4" name="ICV">
    <vt:lpwstr>B9C0B01DFD7A4ECCBB8CD9CE7424726D_12</vt:lpwstr>
  </property>
</Properties>
</file>