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df" ContentType="application/pdf"/>
  <Override PartName="/word/media/rId28.png" ContentType="image/png"/>
  <Override PartName="/word/media/rId30.png" ContentType="image/png"/>
  <Override PartName="/word/media/rId25.png" ContentType="image/png"/>
  <Override PartName="/word/media/rId26.png" ContentType="image/png"/>
  <Override PartName="/word/media/rId27.png" ContentType="image/png"/>
  <Override PartName="/word/media/rId23.png" ContentType="image/png"/>
  <Override PartName="/word/media/rId24.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1-uncertainty-estimation-details"/>
    <w:p>
      <w:pPr>
        <w:pStyle w:val="Heading1"/>
      </w:pPr>
      <w:r>
        <w:t xml:space="preserve">S1: Uncertainty estimation details</w:t>
      </w:r>
    </w:p>
    <w:p>
      <w:pPr>
        <w:pStyle w:val="FirstParagraph"/>
      </w:pPr>
      <w:r>
        <w:t xml:space="preserve">We used posterior simulation to propagate uncertainty through</w:t>
      </w:r>
      <w:r>
        <w:t xml:space="preserve"> </w:t>
      </w:r>
      <m:oMath>
        <m:r>
          <m:rPr>
            <m:nor/>
            <m:sty m:val="p"/>
            <m:scr m:val="monospace"/>
          </m:rPr>
          <m:t>M1</m:t>
        </m:r>
      </m:oMath>
      <w:r>
        <w:t xml:space="preserve">,</w:t>
      </w:r>
      <w:r>
        <w:t xml:space="preserve"> </w:t>
      </w:r>
      <m:oMath>
        <m:r>
          <m:rPr>
            <m:nor/>
            <m:sty m:val="p"/>
            <m:scr m:val="monospace"/>
          </m:rPr>
          <m:t>M2</m:t>
        </m:r>
      </m:oMath>
      <w:r>
        <w:t xml:space="preserve">, and</w:t>
      </w:r>
      <w:r>
        <w:t xml:space="preserve"> </w:t>
      </w:r>
      <m:oMath>
        <m:r>
          <m:rPr>
            <m:nor/>
            <m:sty m:val="p"/>
            <m:scr m:val="monospace"/>
          </m:rPr>
          <m:t>M3</m:t>
        </m:r>
      </m:oMath>
      <w:r>
        <w:t xml:space="preserve">. Each model was fitted via restricted maximum likelihood (REML), so the resulting estimates were empirical Bayes estimates. In this case we generated 5,000 samples from the (approximately multivariate normal) posterior of the model parameters. We generated a sample of the model parameters,</w:t>
      </w:r>
      <w:r>
        <w:t xml:space="preserve"> </w:t>
      </w:r>
      <m:oMath>
        <m:sSup>
          <m:e>
            <m:r>
              <m:rPr>
                <m:sty m:val="b"/>
              </m:rPr>
              <m:t>β</m:t>
            </m:r>
          </m:e>
          <m:sup>
            <m:r>
              <m:rPr>
                <m:sty m:val="p"/>
              </m:rPr>
              <m:t>*</m:t>
            </m:r>
          </m:sup>
        </m:sSup>
        <m:r>
          <m:rPr>
            <m:sty m:val="p"/>
          </m:rPr>
          <m:t>∼</m:t>
        </m:r>
        <m:r>
          <m:rPr>
            <m:nor/>
            <m:sty m:val="p"/>
          </m:rPr>
          <m:t>MVN</m:t>
        </m:r>
        <m:r>
          <m:rPr>
            <m:sty m:val="p"/>
          </m:rPr>
          <m:t>(</m:t>
        </m:r>
        <m:acc>
          <m:accPr>
            <m:chr m:val="̂"/>
          </m:accPr>
          <m:e>
            <m:r>
              <m:rPr>
                <m:sty m:val="b"/>
              </m:rPr>
              <m:t>β</m:t>
            </m:r>
          </m:e>
        </m:acc>
        <m:r>
          <m:rPr>
            <m:sty m:val="p"/>
          </m:rPr>
          <m:t>,</m:t>
        </m:r>
        <m:sSub>
          <m:e>
            <m:r>
              <m:rPr>
                <m:nor/>
                <m:sty m:val="b"/>
              </m:rPr>
              <m:t>V</m:t>
            </m:r>
          </m:e>
          <m:sub>
            <m:acc>
              <m:accPr>
                <m:chr m:val="̂"/>
              </m:accPr>
              <m:e>
                <m:r>
                  <m:rPr>
                    <m:sty m:val="b"/>
                  </m:rPr>
                  <m:t>β</m:t>
                </m:r>
              </m:e>
            </m:acc>
          </m:sub>
        </m:sSub>
        <m:r>
          <m:rPr>
            <m:sty m:val="p"/>
          </m:rPr>
          <m:t>)</m:t>
        </m:r>
      </m:oMath>
      <w:r>
        <w:t xml:space="preserve">, where</w:t>
      </w:r>
      <w:r>
        <w:t xml:space="preserve"> </w:t>
      </w:r>
      <m:oMath>
        <m:acc>
          <m:accPr>
            <m:chr m:val="̂"/>
          </m:accPr>
          <m:e>
            <m:r>
              <m:rPr>
                <m:sty m:val="b"/>
              </m:rPr>
              <m:t>β</m:t>
            </m:r>
          </m:e>
        </m:acc>
      </m:oMath>
      <w:r>
        <w:t xml:space="preserve"> </w:t>
      </w:r>
      <w:r>
        <w:t xml:space="preserve">is the estimate of the model coefficients and</w:t>
      </w:r>
      <w:r>
        <w:t xml:space="preserve"> </w:t>
      </w:r>
      <m:oMath>
        <m:sSub>
          <m:e>
            <m:r>
              <m:rPr>
                <m:nor/>
                <m:sty m:val="b"/>
              </m:rPr>
              <m:t>V</m:t>
            </m:r>
          </m:e>
          <m:sub>
            <m:acc>
              <m:accPr>
                <m:chr m:val="̂"/>
              </m:accPr>
              <m:e>
                <m:r>
                  <m:rPr>
                    <m:sty m:val="b"/>
                  </m:rPr>
                  <m:t>β</m:t>
                </m:r>
              </m:e>
            </m:acc>
          </m:sub>
        </m:sSub>
      </m:oMath>
      <w:r>
        <w:t xml:space="preserve"> </w:t>
      </w:r>
      <w:r>
        <w:t xml:space="preserve">is the posterior covariance matrix. Here the</w:t>
      </w:r>
      <w:r>
        <w:t xml:space="preserve"> </w:t>
      </w:r>
      <m:oMath>
        <m:r>
          <m:rPr>
            <m:sty m:val="b"/>
          </m:rPr>
          <m:t>β</m:t>
        </m:r>
      </m:oMath>
      <w:r>
        <w:t xml:space="preserve"> </w:t>
      </w:r>
      <w:r>
        <w:t xml:space="preserve">for each model included the coefficients for the smooth terms in the model and fixed effects (e.g., intercept) if present. We then used the matrix that maps the model parameters to the predictions on the linear predictor scale (</w:t>
      </w:r>
      <m:oMath>
        <m:sSub>
          <m:e>
            <m:r>
              <m:rPr>
                <m:sty m:val="b"/>
              </m:rPr>
              <m:t>X</m:t>
            </m:r>
          </m:e>
          <m:sub>
            <m:r>
              <m:t>p</m:t>
            </m:r>
          </m:sub>
        </m:sSub>
      </m:oMath>
      <w:r>
        <w:t xml:space="preserve">; Wood et al. 2017; section 7.2.6), along with the inverse link function, to generate predictions for each posterior sample. Denoting the vector of predictions</w:t>
      </w:r>
      <w:r>
        <w:t xml:space="preserve"> </w:t>
      </w:r>
      <m:oMath>
        <m:sSup>
          <m:e>
            <m:r>
              <m:rPr>
                <m:sty m:val="b"/>
              </m:rPr>
              <m:t>μ</m:t>
            </m:r>
          </m:e>
          <m:sup>
            <m:r>
              <m:rPr>
                <m:sty m:val="p"/>
              </m:rPr>
              <m:t>*</m:t>
            </m:r>
          </m:sup>
        </m:sSup>
      </m:oMath>
      <w:r>
        <w:t xml:space="preserve">, we calculate as follows:</w:t>
      </w:r>
      <w:r>
        <w:t xml:space="preserve"> </w:t>
      </w:r>
      <w:r>
        <w:t xml:space="preserve"> </w:t>
      </w:r>
      <w:r>
        <w:t xml:space="preserve">where</w:t>
      </w:r>
      <w:r>
        <w:t xml:space="preserve"> </w:t>
      </w:r>
      <m:oMath>
        <m:r>
          <m:t>g</m:t>
        </m:r>
      </m:oMath>
      <w:r>
        <w:t xml:space="preserve"> </w:t>
      </w:r>
      <w:r>
        <w:t xml:space="preserve">was the link function,</w:t>
      </w:r>
      <w:r>
        <w:t xml:space="preserve"> </w:t>
      </w:r>
      <m:oMath>
        <m:sSup>
          <m:e>
            <m:r>
              <m:rPr>
                <m:sty m:val="b"/>
              </m:rPr>
              <m:t>η</m:t>
            </m:r>
          </m:e>
          <m:sup>
            <m:r>
              <m:rPr>
                <m:sty m:val="p"/>
              </m:rPr>
              <m:t>*</m:t>
            </m:r>
          </m:sup>
        </m:sSup>
      </m:oMath>
      <w:r>
        <w:t xml:space="preserve"> </w:t>
      </w:r>
      <w:r>
        <w:t xml:space="preserve">was the linear predictor and</w:t>
      </w:r>
      <w:r>
        <w:t xml:space="preserve"> </w:t>
      </w:r>
      <m:oMath>
        <m:r>
          <m:rPr>
            <m:sty m:val="b"/>
          </m:rPr>
          <m:t>ξ</m:t>
        </m:r>
      </m:oMath>
      <w:r>
        <w:t xml:space="preserve"> </w:t>
      </w:r>
      <w:r>
        <w:t xml:space="preserve">was any offset used by this prediction. Variance estimates can be obtained by taking the empirical variance of the resulting predictions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pPr>
        <w:pStyle w:val="BodyTex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take (</w:t>
      </w:r>
      <m:oMath>
        <m:sSub>
          <m:e>
            <m:r>
              <m:t>N</m:t>
            </m:r>
          </m:e>
          <m:sub>
            <m:r>
              <m:t>b</m:t>
            </m:r>
          </m:sub>
        </m:sSub>
      </m:oMath>
      <w:r>
        <w:t xml:space="preserve">=5,000 here), let</w:t>
      </w:r>
      <w:r>
        <w:t xml:space="preserve"> </w:t>
      </w:r>
      <m:oMath>
        <m:sSub>
          <m:e>
            <m:r>
              <m:rPr>
                <m:sty m:val="b"/>
              </m:rPr>
              <m:t>X</m:t>
            </m:r>
          </m:e>
          <m:sub>
            <m:r>
              <m:t>p</m:t>
            </m:r>
            <m:r>
              <m:rPr>
                <m:sty m:val="p"/>
              </m:rPr>
              <m:t>,</m:t>
            </m:r>
            <m:r>
              <m:rPr>
                <m:nor/>
                <m:sty m:val="p"/>
                <m:scr m:val="monospace"/>
              </m:rPr>
              <m:t>M</m:t>
            </m:r>
            <m:r>
              <m:t>j</m:t>
            </m:r>
          </m:sub>
        </m:sSub>
      </m:oMath>
      <w:r>
        <w:t xml:space="preserve"> </w:t>
      </w:r>
      <w:r>
        <w:t xml:space="preserve">for</w:t>
      </w:r>
      <w:r>
        <w:t xml:space="preserve"> </w:t>
      </w:r>
      <m:oMath>
        <m:r>
          <m:t>j</m:t>
        </m:r>
        <m:r>
          <m:rPr>
            <m:sty m:val="p"/>
          </m:rPr>
          <m:t>=</m:t>
        </m:r>
        <m:r>
          <m:t>1</m:t>
        </m:r>
        <m:r>
          <m:rPr>
            <m:sty m:val="p"/>
          </m:rPr>
          <m:t>,</m:t>
        </m:r>
        <m:r>
          <m:t>2</m:t>
        </m:r>
        <m:r>
          <m:rPr>
            <m:sty m:val="p"/>
          </m:rPr>
          <m:t>,</m:t>
        </m:r>
        <m:r>
          <m:t>3</m:t>
        </m:r>
      </m:oMath>
      <w:r>
        <w:t xml:space="preserve"> </w:t>
      </w:r>
      <w:r>
        <w:t xml:space="preserve">be the matrix that maps coefficients to the predictions for model</w:t>
      </w:r>
      <w:r>
        <w:t xml:space="preserve"> </w:t>
      </w:r>
      <m:oMath>
        <m:r>
          <m:rPr>
            <m:no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then calculated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nor/>
                    <m:sty m:val="p"/>
                    <m:scr m:val="monospace"/>
                  </m:rPr>
                  <m:t>M1</m:t>
                </m:r>
              </m:e>
              <m:sup>
                <m:r>
                  <m:rPr>
                    <m:sty m:val="p"/>
                  </m:rPr>
                  <m:t>′</m:t>
                </m:r>
              </m:sup>
            </m:sSup>
          </m:sub>
        </m:sSub>
      </m:oMath>
      <w:r>
        <w:t xml:space="preserve">,</w:t>
      </w:r>
      <w:r>
        <w:t xml:space="preserve"> </w:t>
      </w:r>
      <m:oMath>
        <m:sSub>
          <m:e>
            <m:r>
              <m:rPr>
                <m:sty m:val="b"/>
              </m:rPr>
              <m:t>μ</m:t>
            </m:r>
          </m:e>
          <m:sub>
            <m:sSup>
              <m:e>
                <m:r>
                  <m:rPr>
                    <m:nor/>
                    <m:sty m:val="p"/>
                    <m:scr m:val="monospace"/>
                  </m:rPr>
                  <m:t>M2</m:t>
                </m:r>
              </m:e>
              <m:sup>
                <m:r>
                  <m:rPr>
                    <m:sty m:val="p"/>
                  </m:rPr>
                  <m:t>′</m:t>
                </m:r>
              </m:sup>
            </m:sSup>
          </m:sub>
        </m:sSub>
      </m:oMath>
      <w:r>
        <w:t xml:space="preserve">, and</w:t>
      </w:r>
      <w:r>
        <w:t xml:space="preserve"> </w:t>
      </w:r>
      <m:oMath>
        <m:sSub>
          <m:e>
            <m:r>
              <m:rPr>
                <m:sty m:val="b"/>
              </m:rPr>
              <m:t>μ</m:t>
            </m:r>
          </m:e>
          <m:sub>
            <m:sSup>
              <m:e>
                <m:r>
                  <m:rPr>
                    <m:nor/>
                    <m:sty m:val="p"/>
                    <m:scr m:val="monospace"/>
                  </m:rPr>
                  <m:t>M3</m:t>
                </m:r>
              </m:e>
              <m:sup>
                <m:r>
                  <m:rPr>
                    <m:sty m:val="p"/>
                  </m:rPr>
                  <m:t>′</m:t>
                </m:r>
              </m:sup>
            </m:sSup>
          </m:sub>
        </m:sSub>
      </m:oMath>
      <w:r>
        <w:t xml:space="preserve"> </w:t>
      </w:r>
      <w:r>
        <w:t xml:space="preserve">we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nor/>
                    <m:sty m:val="p"/>
                    <m:scr m:val="monospace"/>
                  </m:rPr>
                  <m:t>M3</m:t>
                </m:r>
              </m:e>
              <m:sup>
                <m:r>
                  <m:rPr>
                    <m:sty m:val="p"/>
                  </m:rPr>
                  <m:t>′</m:t>
                </m:r>
              </m:sup>
            </m:sSup>
          </m:sub>
        </m:sSub>
      </m:oMath>
      <w:r>
        <w:t xml:space="preserve"> </w:t>
      </w:r>
      <w:r>
        <w:t xml:space="preserve">gave the uncertainty, incorporating components from all three models. We took appropriate pointwise quantiles (e.g., 2.5</w:t>
      </w:r>
      <m:oMath>
        <m:sSup>
          <m:e>
            <m:r>
              <m:t>​</m:t>
            </m:r>
          </m:e>
          <m:sup>
            <m:r>
              <m:rPr>
                <m:nor/>
                <m:sty m:val="p"/>
              </m:rPr>
              <m:t>th</m:t>
            </m:r>
          </m:sup>
        </m:sSup>
      </m:oMath>
      <w:r>
        <w:t xml:space="preserve"> </w:t>
      </w:r>
      <w:r>
        <w:t xml:space="preserve">and 97.5</w:t>
      </w:r>
      <m:oMath>
        <m:sSup>
          <m:e>
            <m:r>
              <m:t>​</m:t>
            </m:r>
          </m:e>
          <m:sup>
            <m:r>
              <m:rPr>
                <m:nor/>
                <m:sty m:val="p"/>
              </m:rPr>
              <m:t>th</m:t>
            </m:r>
          </m:sup>
        </m:sSup>
      </m:oMath>
      <w:r>
        <w:t xml:space="preserve"> </w:t>
      </w:r>
      <w:r>
        <w:t xml:space="preserve">for a 95% interval) to form confidence bands for the functional relationships between sonar received level and estimated probability of detecting GVPs.</w:t>
      </w:r>
    </w:p>
    <w:bookmarkEnd w:id="20"/>
    <w:bookmarkStart w:id="29" w:name="s2-supplementary-tables-and-figures"/>
    <w:p>
      <w:pPr>
        <w:pStyle w:val="Heading1"/>
      </w:pPr>
      <w:r>
        <w:t xml:space="preserve">S2: Supplementary Tables and Figures</w:t>
      </w:r>
    </w:p>
    <w:p>
      <w:pPr>
        <w:pStyle w:val="CaptionedFigure"/>
      </w:pPr>
      <w:r>
        <w:drawing>
          <wp:inline>
            <wp:extent cx="5334000" cy="6667500"/>
            <wp:effectExtent b="0" l="0" r="0" t="0"/>
            <wp:docPr descr="Map of observed probability of detecting a group vocal period (GVP) at each hydrophone (color scale) during the baseline period, when naval activity was present, and when mid-frequency active sonar (MFAS) was present (rows) for each submarine commander course (columns). Note that values of the probability of detecting a GVP are not corrected for effort (size of the hydrophone tile)." title="" id="1" name="Picture"/>
            <a:graphic>
              <a:graphicData uri="http://schemas.openxmlformats.org/drawingml/2006/picture">
                <pic:pic>
                  <pic:nvPicPr>
                    <pic:cNvPr descr="../Figures/SpatialComparisonPDive.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Map of observed probability of detecting a group vocal period (GVP) at each hydrophone (color scale) during the baseline period, when naval activity was present, and when mid-frequency active sonar (MFAS) was present (rows) for each submarine commander course (columns). Note that values of the probability of detecting a GVP are not corrected for effort (size of the hydrophone tile).</w:t>
      </w:r>
    </w:p>
    <w:p>
      <w:pPr>
        <w:pStyle w:val="CaptionedFigure"/>
      </w:pPr>
      <w:r>
        <w:drawing>
          <wp:inline>
            <wp:extent cx="5334000" cy="4000500"/>
            <wp:effectExtent b="0" l="0" r="0" t="0"/>
            <wp:docPr descr="Median received level (dB re. 1 \muPa) when mid-frequency active sonar was present (color scale) for all hydrophones and submarine commander courses." title="" id="1" name="Picture"/>
            <a:graphic>
              <a:graphicData uri="http://schemas.openxmlformats.org/drawingml/2006/picture">
                <pic:pic>
                  <pic:nvPicPr>
                    <pic:cNvPr descr="../Figures/AllSCCMedianRL.pdf"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Median received level (dB re. 1</w:t>
      </w:r>
      <w:r>
        <w:t xml:space="preserve"> </w:t>
      </w:r>
      <m:oMath>
        <m:r>
          <m:t>μ</m:t>
        </m:r>
      </m:oMath>
      <w:r>
        <w:t xml:space="preserve">Pa) when mid-frequency active sonar was present (color scale) for all hydrophones and submarine commander courses.</w:t>
      </w:r>
    </w:p>
    <w:p>
      <w:pPr>
        <w:pStyle w:val="CaptionedFigure"/>
      </w:pPr>
      <w:r>
        <w:drawing>
          <wp:inline>
            <wp:extent cx="5334000" cy="3556000"/>
            <wp:effectExtent b="0" l="0" r="0" t="0"/>
            <wp:docPr descr="Boxplot of observed probability of a group vocal period (GVP) for all hydrophones and submarine commander courses (SCCs; vertical axis) during baseline period, when naval activity was present, and when mid-frequency active sonar (MFAS) was present (horizontal axis). Each data point represents one hydrophone during one SCC and one phase of the training exercise." title="" id="1" name="Picture"/>
            <a:graphic>
              <a:graphicData uri="http://schemas.openxmlformats.org/drawingml/2006/picture">
                <pic:pic>
                  <pic:nvPicPr>
                    <pic:cNvPr descr="../Figures/PDiveBoxplot.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Boxplot of observed probability of a group vocal period (GVP) for all hydrophones and submarine commander courses (SCCs; vertical axis) during baseline period, when naval activity was present, and when mid-frequency active sonar (MFAS) was present (horizontal axis). Each data point represents one hydrophone during one SCC and one phase of the training exercise.</w:t>
      </w:r>
    </w:p>
    <w:p>
      <w:pPr>
        <w:pStyle w:val="CaptionedFigure"/>
      </w:pPr>
      <w:r>
        <w:drawing>
          <wp:inline>
            <wp:extent cx="5334000" cy="3333750"/>
            <wp:effectExtent b="0" l="0" r="0" t="0"/>
            <wp:docPr descr="Pacific Missile Range Facility range tessellations for each of six recorded submarine commander courses. Black lines indicate boundaries of hydrophone tiles. Black dots indicate approximate hydrophone locations." title="" id="1" name="Picture"/>
            <a:graphic>
              <a:graphicData uri="http://schemas.openxmlformats.org/drawingml/2006/picture">
                <pic:pic>
                  <pic:nvPicPr>
                    <pic:cNvPr descr="../Figures/SCCTesselations.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Pacific Missile Range Facility range tessellations for each of six recorded submarine commander courses. Black lines indicate boundaries of hydrophone tiles. Black dots indicate approximate hydrophone locations.</w:t>
      </w:r>
    </w:p>
    <w:p>
      <w:pPr>
        <w:pStyle w:val="CaptionedFigure"/>
      </w:pPr>
      <w:r>
        <w:drawing>
          <wp:inline>
            <wp:extent cx="5334000" cy="5334000"/>
            <wp:effectExtent b="0" l="0" r="0" t="0"/>
            <wp:docPr descr="Observed (horizontal axis) versus M1 predicted (vertical axis) probability of detecting a group vocal period (GVP) at each hydrophone during the baseline period." title="" id="1" name="Picture"/>
            <a:graphic>
              <a:graphicData uri="http://schemas.openxmlformats.org/drawingml/2006/picture">
                <pic:pic>
                  <pic:nvPicPr>
                    <pic:cNvPr descr="../Figures/M1ObsPred.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Observed (horizontal axis) versus M1 predicted (vertical axis) probability of detecting a group vocal period (GVP) at each hydrophone during the baseline period.</w:t>
      </w:r>
    </w:p>
    <w:p>
      <w:pPr>
        <w:pStyle w:val="CaptionedFigure"/>
      </w:pPr>
      <w:r>
        <w:drawing>
          <wp:inline>
            <wp:extent cx="5334000" cy="4445000"/>
            <wp:effectExtent b="0" l="0" r="0" t="0"/>
            <wp:docPr descr="Spline for the relationship between the probability of detecting a group vocal period (GVP) and depth from M1 on the logit-link scale. Solid line: best fit; dashed lines: 95% CIs." title="" id="1" name="Picture"/>
            <a:graphic>
              <a:graphicData uri="http://schemas.openxmlformats.org/drawingml/2006/picture">
                <pic:pic>
                  <pic:nvPicPr>
                    <pic:cNvPr descr="../Figures/M1SDepth.png" id="0" name="Picture"/>
                    <pic:cNvPicPr>
                      <a:picLocks noChangeArrowheads="1" noChangeAspect="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Spline for the relationship between the probability of detecting a group vocal period (GVP) and depth from M1 on the logit-link scale. Solid line: best fit; dashed lines: 95% CIs.</w:t>
      </w:r>
    </w:p>
    <w:p>
      <w:pPr>
        <w:pStyle w:val="CaptionedFigure"/>
      </w:pPr>
      <w:r>
        <w:drawing>
          <wp:inline>
            <wp:extent cx="5334000" cy="4445000"/>
            <wp:effectExtent b="0" l="0" r="0" t="0"/>
            <wp:docPr descr="Spline for the relationship between the probability of detecting a group vocal period (GVP) and maximum received level from M3 on the logit-link scale. Solid line: best fit; dashed lines: 95% CIs." title="" id="1" name="Picture"/>
            <a:graphic>
              <a:graphicData uri="http://schemas.openxmlformats.org/drawingml/2006/picture">
                <pic:pic>
                  <pic:nvPicPr>
                    <pic:cNvPr descr="../Figures/M3SMaxRL.png" id="0" name="Picture"/>
                    <pic:cNvPicPr>
                      <a:picLocks noChangeArrowheads="1" noChangeAspect="1"/>
                    </pic:cNvPicPr>
                  </pic:nvPicPr>
                  <pic:blipFill>
                    <a:blip r:embed="rId2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Spline for the relationship between the probability of detecting a group vocal period (GVP) and maximum received level from M3 on the logit-link scale. Solid line: best fit; dashed lines: 95% CIs.</w:t>
      </w:r>
    </w:p>
    <w:p>
      <w:pPr>
        <w:pStyle w:val="CaptionedFigure"/>
      </w:pPr>
      <w:r>
        <w:drawing>
          <wp:inline>
            <wp:extent cx="5334000" cy="2667000"/>
            <wp:effectExtent b="0" l="0" r="0" t="0"/>
            <wp:docPr descr="Example of five iterations (colored lines) of the 5,000 posterior samples of the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 title="" id="1" name="Picture"/>
            <a:graphic>
              <a:graphicData uri="http://schemas.openxmlformats.org/drawingml/2006/picture">
                <pic:pic>
                  <pic:nvPicPr>
                    <pic:cNvPr descr="../Figures/ExampleIterations.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Example of five iterations (colored lines) of the 5,000 posterior samples of the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w:t>
      </w:r>
    </w:p>
    <w:bookmarkEnd w:id="29"/>
    <w:bookmarkStart w:id="31" w:name="s3-single-gam"/>
    <w:p>
      <w:pPr>
        <w:pStyle w:val="Heading1"/>
      </w:pPr>
      <w:r>
        <w:t xml:space="preserve">S3: Single GAM</w:t>
      </w:r>
    </w:p>
    <w:p>
      <w:pPr>
        <w:pStyle w:val="FirstParagraph"/>
      </w:pPr>
      <w:r>
        <w:t xml:space="preserve">A single generalized additive model (GAM) could be used to quantify the effect of naval sonar on Blainville’s beaked whales. Here, we present such a model and compare the results to the results obtained using the multi-stage model presented in the main text of the manuscript.</w:t>
      </w:r>
    </w:p>
    <w:p>
      <w:pPr>
        <w:pStyle w:val="BodyText"/>
      </w:pPr>
      <w:r>
        <w:t xml:space="preserve">We modelled the probability of a group vocal period (GVP) at tile</w:t>
      </w:r>
      <w:r>
        <w:t xml:space="preserve"> </w:t>
      </w:r>
      <m:oMath>
        <m:r>
          <m:t>i</m:t>
        </m:r>
      </m:oMath>
      <w:r>
        <w:t xml:space="preserve"> </w:t>
      </w:r>
      <w:r>
        <w:t xml:space="preserve">in submarine commander course (SCC)</w:t>
      </w:r>
      <w:r>
        <w:t xml:space="preserve"> </w:t>
      </w:r>
      <m:oMath>
        <m:r>
          <m:t>s</m:t>
        </m:r>
      </m:oMath>
      <w:r>
        <w:t xml:space="preserve"> </w:t>
      </w:r>
      <w:r>
        <w:t xml:space="preserve">at time</w:t>
      </w:r>
      <w:r>
        <w:t xml:space="preserve"> </w:t>
      </w:r>
      <m:oMath>
        <m:r>
          <m:t>t</m:t>
        </m:r>
      </m:oMath>
      <w:r>
        <w:t xml:space="preserve"> </w:t>
      </w:r>
      <w:r>
        <w:t xml:space="preserve">as a Bernoulli trial:</w:t>
      </w:r>
      <w:r>
        <w:t xml:space="preserve"> </w:t>
      </w:r>
      <m:oMath>
        <m:sSub>
          <m:e>
            <m:r>
              <m:rPr>
                <m:nor/>
                <m:sty m:val="p"/>
                <m:scr m:val="monospace"/>
              </m:rPr>
              <m:t>GVP</m:t>
            </m:r>
          </m:e>
          <m:sub>
            <m:r>
              <m:t>i</m:t>
            </m:r>
            <m:r>
              <m:rPr>
                <m:sty m:val="p"/>
              </m:rPr>
              <m:t>,</m:t>
            </m:r>
            <m:r>
              <m:t>s</m:t>
            </m:r>
            <m:r>
              <m:rPr>
                <m:sty m:val="p"/>
              </m:rPr>
              <m:t>,</m:t>
            </m:r>
            <m:r>
              <m:t>t</m:t>
            </m:r>
          </m:sub>
        </m:sSub>
        <m:r>
          <m:rPr>
            <m:sty m:val="p"/>
          </m:rPr>
          <m:t>∼</m:t>
        </m:r>
        <m:r>
          <m:rPr>
            <m:nor/>
            <m:sty m:val="p"/>
          </m:rPr>
          <m:t>Bin</m:t>
        </m:r>
        <m:r>
          <m:rPr>
            <m:sty m:val="p"/>
          </m:rPr>
          <m:t>(</m:t>
        </m:r>
        <m:r>
          <m:t>1</m:t>
        </m:r>
        <m:r>
          <m:rPr>
            <m:sty m:val="p"/>
          </m:rPr>
          <m:t>,</m:t>
        </m:r>
        <m:sSub>
          <m:e>
            <m:r>
              <m:t>μ</m:t>
            </m:r>
          </m:e>
          <m:sub>
            <m:r>
              <m:t>i</m:t>
            </m:r>
            <m:r>
              <m:rPr>
                <m:sty m:val="p"/>
              </m:rPr>
              <m:t>,</m:t>
            </m:r>
            <m:r>
              <m:t>s</m:t>
            </m:r>
            <m:r>
              <m:rPr>
                <m:sty m:val="p"/>
              </m:rPr>
              <m:t>,</m:t>
            </m:r>
            <m:r>
              <m:t>t</m:t>
            </m:r>
          </m:sub>
        </m:sSub>
        <m:r>
          <m:rPr>
            <m:sty m:val="p"/>
          </m:rPr>
          <m:t>)</m:t>
        </m:r>
      </m:oMath>
      <w:r>
        <w:t xml:space="preserve">. The linear predictor on the logit scale was given as:</w:t>
      </w:r>
      <w:r>
        <w:t xml:space="preserve"> </w:t>
      </w:r>
      <w:r>
        <w:t xml:space="preserve"> </w:t>
      </w:r>
      <w:r>
        <w:t xml:space="preserve">where</w:t>
      </w:r>
      <w:r>
        <w:t xml:space="preserve"> </w:t>
      </w:r>
      <m:oMath>
        <m:sSub>
          <m:e>
            <m:r>
              <m:t>β</m:t>
            </m:r>
          </m:e>
          <m:sub>
            <m:r>
              <m:t>0</m:t>
            </m:r>
          </m:sub>
        </m:sSub>
      </m:oMath>
      <w:r>
        <w:t xml:space="preserve"> </w:t>
      </w:r>
      <w:r>
        <w:t xml:space="preserve">is an intercept,</w:t>
      </w:r>
      <w:r>
        <w:t xml:space="preserve"> </w:t>
      </w:r>
      <m:oMath>
        <m:sSub>
          <m:e>
            <m:r>
              <m:t>β</m:t>
            </m:r>
          </m:e>
          <m:sub>
            <m:r>
              <m:t>1</m:t>
            </m:r>
          </m:sub>
        </m:sSub>
        <m:sSub>
          <m:e>
            <m:r>
              <m:rPr>
                <m:nor/>
                <m:sty m:val="p"/>
                <m:scr m:val="monospace"/>
              </m:rPr>
              <m:t>NavTrain</m:t>
            </m:r>
          </m:e>
          <m:sub>
            <m:r>
              <m:t>t</m:t>
            </m:r>
          </m:sub>
        </m:sSub>
      </m:oMath>
      <w:r>
        <w:t xml:space="preserve"> </w:t>
      </w:r>
      <w:r>
        <w:t xml:space="preserve">is the effect of naval training times an indicator variable for whether naval training was present or absent at time</w:t>
      </w:r>
      <w:r>
        <w:t xml:space="preserve"> </w:t>
      </w:r>
      <m:oMath>
        <m:r>
          <m:t>t</m:t>
        </m:r>
      </m:oMath>
      <w:r>
        <w:t xml:space="preserve">,</w:t>
      </w:r>
      <w:r>
        <w:t xml:space="preserve"> </w:t>
      </w:r>
      <m:oMath>
        <m:r>
          <m:t>f</m:t>
        </m:r>
        <m:r>
          <m:rPr>
            <m:sty m:val="p"/>
          </m:rPr>
          <m:t>(</m:t>
        </m:r>
        <m:sSub>
          <m:e>
            <m:r>
              <m:rPr>
                <m:nor/>
                <m:sty m:val="p"/>
                <m:scr m:val="monospace"/>
              </m:rPr>
              <m:t>MRF</m:t>
            </m:r>
          </m:e>
          <m:sub>
            <m:r>
              <m:t>i</m:t>
            </m:r>
            <m:r>
              <m:rPr>
                <m:sty m:val="p"/>
              </m:rPr>
              <m:t>,</m:t>
            </m:r>
            <m:r>
              <m:t>s</m:t>
            </m:r>
          </m:sub>
        </m:sSub>
        <m:r>
          <m:rPr>
            <m:sty m:val="p"/>
          </m:rPr>
          <m:t>)</m:t>
        </m:r>
      </m:oMath>
      <w:r>
        <w:t xml:space="preserve"> </w:t>
      </w:r>
      <w:r>
        <w:t xml:space="preserve">denotes the Markov random field used to smooth space,</w:t>
      </w:r>
      <w:r>
        <w:t xml:space="preserve"> </w:t>
      </w:r>
      <m:oMath>
        <m:r>
          <m:t>f</m:t>
        </m:r>
        <m:r>
          <m:rPr>
            <m:sty m:val="p"/>
          </m:rPr>
          <m:t>(</m:t>
        </m:r>
        <m:sSub>
          <m:e>
            <m:r>
              <m:rPr>
                <m:nor/>
                <m:sty m:val="p"/>
                <m:scr m:val="monospace"/>
              </m:rPr>
              <m:t>Depth</m:t>
            </m:r>
          </m:e>
          <m:sub>
            <m:r>
              <m:t>i</m:t>
            </m:r>
          </m:sub>
        </m:sSub>
        <m:r>
          <m:rPr>
            <m:sty m:val="p"/>
          </m:rPr>
          <m:t>)</m:t>
        </m:r>
      </m:oMath>
      <w:r>
        <w:t xml:space="preserve"> </w:t>
      </w:r>
      <w:r>
        <w:t xml:space="preserve">is a smooth of depth (using a thin plate spline; Wood et al. 2003),</w:t>
      </w:r>
      <w:r>
        <w:t xml:space="preserve"> </w:t>
      </w:r>
      <m:oMath>
        <m:r>
          <m:t>f</m:t>
        </m:r>
        <m:r>
          <m:rPr>
            <m:sty m:val="p"/>
          </m:rPr>
          <m:t>(</m:t>
        </m:r>
        <m:sSub>
          <m:e>
            <m:r>
              <m:rPr>
                <m:nor/>
                <m:sty m:val="p"/>
                <m:scr m:val="monospace"/>
              </m:rPr>
              <m:t>MaxRL</m:t>
            </m:r>
          </m:e>
          <m:sub>
            <m:r>
              <m:t>i</m:t>
            </m:r>
            <m:r>
              <m:rPr>
                <m:sty m:val="p"/>
              </m:rPr>
              <m:t>,</m:t>
            </m:r>
            <m:r>
              <m:t>t</m:t>
            </m:r>
          </m:sub>
        </m:sSub>
        <m:r>
          <m:rPr>
            <m:sty m:val="p"/>
          </m:rPr>
          <m:t>)</m:t>
        </m:r>
        <m:sSub>
          <m:e>
            <m:r>
              <m:rPr>
                <m:nor/>
                <m:sty m:val="p"/>
                <m:scr m:val="monospace"/>
              </m:rPr>
              <m:t>Sonar</m:t>
            </m:r>
          </m:e>
          <m:sub>
            <m:r>
              <m:t>t</m:t>
            </m:r>
          </m:sub>
        </m:sSub>
      </m:oMath>
      <w:r>
        <w:t xml:space="preserve"> </w:t>
      </w:r>
      <w:r>
        <w:t xml:space="preserve">is a smooth of sonar received level (using a thin plate spline) times an indicator variable for whether sonar was present or absent at time</w:t>
      </w:r>
      <w:r>
        <w:t xml:space="preserve"> </w:t>
      </w:r>
      <m:oMath>
        <m:r>
          <m:t>t</m:t>
        </m:r>
      </m:oMath>
      <w:r>
        <w:t xml:space="preserve">, and</w:t>
      </w:r>
      <w:r>
        <w:t xml:space="preserve"> </w:t>
      </w:r>
      <m:oMath>
        <m:sSub>
          <m:e>
            <m:r>
              <m:rPr>
                <m:nor/>
                <m:sty m:val="p"/>
              </m:rPr>
              <m:t>log</m:t>
            </m:r>
          </m:e>
          <m:sub>
            <m:r>
              <m:t>e</m:t>
            </m:r>
          </m:sub>
        </m:sSub>
        <m:sSub>
          <m:e>
            <m:r>
              <m:t>A</m:t>
            </m:r>
          </m:e>
          <m:sub>
            <m:r>
              <m:t>i</m:t>
            </m:r>
          </m:sub>
        </m:sSub>
      </m:oMath>
      <w:r>
        <w:t xml:space="preserve"> </w:t>
      </w:r>
      <w:r>
        <w:t xml:space="preserve">is an offset for the area (in</w:t>
      </w:r>
      <w:r>
        <w:t xml:space="preserve"> </w:t>
      </w:r>
      <m:oMath>
        <m:sSup>
          <m:e>
            <m:r>
              <m:rPr>
                <m:nor/>
                <m:sty m:val="p"/>
              </m:rPr>
              <m:t>km</m:t>
            </m:r>
          </m:e>
          <m:sup>
            <m:r>
              <m:t>2</m:t>
            </m:r>
          </m:sup>
        </m:sSup>
      </m:oMath>
      <w:r>
        <w:t xml:space="preserve">) of each tile,</w:t>
      </w:r>
      <w:r>
        <w:t xml:space="preserve"> </w:t>
      </w:r>
      <m:oMath>
        <m:sSub>
          <m:e>
            <m:r>
              <m:t>A</m:t>
            </m:r>
          </m:e>
          <m:sub>
            <m:r>
              <m:t>i</m:t>
            </m:r>
          </m:sub>
        </m:sSub>
      </m:oMath>
      <w:r>
        <w:t xml:space="preserve">.</w:t>
      </w:r>
    </w:p>
    <w:p>
      <w:pPr>
        <w:pStyle w:val="BodyText"/>
      </w:pPr>
      <w:r>
        <w:t xml:space="preserve">We fit the model to the same data used in</w:t>
      </w:r>
      <w:r>
        <w:t xml:space="preserve"> </w:t>
      </w:r>
      <w:r>
        <w:t xml:space="preserve">,</w:t>
      </w:r>
      <w:r>
        <w:t xml:space="preserve"> </w:t>
      </w:r>
      <w:r>
        <w:t xml:space="preserve">, and</w:t>
      </w:r>
      <w:r>
        <w:t xml:space="preserve"> </w:t>
      </w:r>
      <w:r>
        <w:t xml:space="preserve"> </w:t>
      </w:r>
      <w:r>
        <w:t xml:space="preserve">(see Methods section of main manuscript for details) using</w:t>
      </w:r>
      <w:r>
        <w:t xml:space="preserve"> </w:t>
      </w:r>
      <w:r>
        <w:t xml:space="preserve"> </w:t>
      </w:r>
      <w:r>
        <w:t xml:space="preserve">[@wood_generalized_2017-1]</w:t>
      </w:r>
      <w:r>
        <w:t xml:space="preserve">.</w:t>
      </w:r>
    </w:p>
    <w:p>
      <w:pPr>
        <w:pStyle w:val="BodyText"/>
      </w:pPr>
      <w:r>
        <w:t xml:space="preserve">This single GAM (Fig. @ref(fig:m0)) predicts a 41% (95% CI 34%-46%) decrease in</w:t>
      </w:r>
      <w:r>
        <w:t xml:space="preserve"> </w:t>
      </w:r>
      <m:oMath>
        <m:r>
          <m:t>P</m:t>
        </m:r>
        <m:r>
          <m:rPr>
            <m:sty m:val="p"/>
          </m:rPr>
          <m:t>(</m:t>
        </m:r>
        <m:r>
          <m:rPr>
            <m:nor/>
            <m:sty m:val="p"/>
          </m:rPr>
          <m:t>GVP</m:t>
        </m:r>
        <m:r>
          <m:rPr>
            <m:sty m:val="p"/>
          </m:rPr>
          <m:t>)</m:t>
        </m:r>
      </m:oMath>
      <w:r>
        <w:t xml:space="preserve"> </w:t>
      </w:r>
      <w:r>
        <w:t xml:space="preserve">when naval training is present compared to the baseline period, whereas the multi-stage GAM (Fig. 4) predicts a decrease of 44% (95% CI 38%-49%). The single GAM predicts that at a mid-frequency active sonar (MFAS) received level of 150 dB re 1</w:t>
      </w:r>
      <w:r>
        <w:t xml:space="preserve"> </w:t>
      </w:r>
      <m:oMath>
        <m:r>
          <m:t>μ</m:t>
        </m:r>
      </m:oMath>
      <w:r>
        <w:t xml:space="preserve">Pa,</w:t>
      </w:r>
      <w:r>
        <w:t xml:space="preserve"> </w:t>
      </w:r>
      <m:oMath>
        <m:r>
          <m:t>P</m:t>
        </m:r>
        <m:r>
          <m:rPr>
            <m:sty m:val="p"/>
          </m:rPr>
          <m:t>(</m:t>
        </m:r>
        <m:r>
          <m:rPr>
            <m:nor/>
            <m:sty m:val="p"/>
          </m:rPr>
          <m:t>GVP</m:t>
        </m:r>
        <m:r>
          <m:rPr>
            <m:sty m:val="p"/>
          </m:rPr>
          <m:t>)</m:t>
        </m:r>
      </m:oMath>
      <w:r>
        <w:t xml:space="preserve"> </w:t>
      </w:r>
      <w:r>
        <w:t xml:space="preserve">decreases by 87% (95% CI 71%-95%) relative to when only naval training is present, whereas the multi-stage model predicts the same decrease of 87% with a narrower credible interval (95% CI 81%-92%). Relative to when only naval training is present, the single GAM predicts a 50% reduction in</w:t>
      </w:r>
      <w:r>
        <w:t xml:space="preserve"> </w:t>
      </w:r>
      <m:oMath>
        <m:r>
          <m:t>P</m:t>
        </m:r>
        <m:r>
          <m:rPr>
            <m:sty m:val="p"/>
          </m:rPr>
          <m:t>(</m:t>
        </m:r>
        <m:r>
          <m:rPr>
            <m:nor/>
            <m:sty m:val="p"/>
          </m:rPr>
          <m:t>GVP</m:t>
        </m:r>
        <m:r>
          <m:rPr>
            <m:sty m:val="p"/>
          </m:rPr>
          <m:t>)</m:t>
        </m:r>
      </m:oMath>
      <w:r>
        <w:t xml:space="preserve"> </w:t>
      </w:r>
      <w:r>
        <w:t xml:space="preserve">at a MFAS received level of 120 dB re 1</w:t>
      </w:r>
      <w:r>
        <w:t xml:space="preserve"> </w:t>
      </w:r>
      <m:oMath>
        <m:r>
          <m:t>μ</m:t>
        </m:r>
      </m:oMath>
      <w:r>
        <w:t xml:space="preserve">Pa, whereas the multi-stage model predicts a 50% reduction at a MFAS received level of 132 dB re 1</w:t>
      </w:r>
      <w:r>
        <w:t xml:space="preserve"> </w:t>
      </w:r>
      <m:oMath>
        <m:r>
          <m:t>μ</m:t>
        </m:r>
      </m:oMath>
      <w:r>
        <w:t xml:space="preserve">Pa.</w:t>
      </w:r>
    </w:p>
    <w:p>
      <w:pPr>
        <w:pStyle w:val="BodyText"/>
      </w:pPr>
      <w:r>
        <w:t xml:space="preserve">The major difference between this single GAM and the multi-stage model presented in the main text of the manuscript is that here, the spatial smooth is constructed using data from the baseline, naval training, and MFAS periods of each SCC. Therefore, the spatial distribution of MFAS may influence the predicted distribution of Blainville’s beaked whales. Using a single GAM leads to similar point estimates of the impact of sonar with greater uncertainty than the multi-stage model.</w:t>
      </w:r>
    </w:p>
    <w:p>
      <w:pPr>
        <w:pStyle w:val="CaptionedFigure"/>
      </w:pPr>
      <w:r>
        <w:drawing>
          <wp:inline>
            <wp:extent cx="5334000" cy="3556000"/>
            <wp:effectExtent b="0" l="0" r="0" t="0"/>
            <wp:docPr descr="Results from a single generalized additive model: Median (black line) and 95% CIs (gray shading)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 title="" id="1" name="Picture"/>
            <a:graphic>
              <a:graphicData uri="http://schemas.openxmlformats.org/drawingml/2006/picture">
                <pic:pic>
                  <pic:nvPicPr>
                    <pic:cNvPr descr="../Figures/M0.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Results from a single generalized additive model: Median (black line) and 95% CIs (gray shading)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w:t>
      </w:r>
    </w:p>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df"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2022-05-03T12:47:34Z</dcterms:created>
  <dcterms:modified xsi:type="dcterms:W3CDTF">2022-05-03T12:47:34Z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header-includes">
    <vt:lpwstr/>
  </property>
  <property fmtid="{D5CDD505-2E9C-101B-9397-08002B2CF9AE}" pid="4" name="output">
    <vt:lpwstr>word_document</vt:lpwstr>
  </property>
</Properties>
</file>