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26.png" ContentType="image/png"/>
  <Override PartName="/word/media/rId42.png" ContentType="image/png"/>
  <Override PartName="/word/media/rId41.png" ContentType="image/png"/>
  <Override PartName="/word/media/rId3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abstract"/>
      <w:bookmarkEnd w:id="21"/>
      <w:r>
        <w:t xml:space="preserve">Abstract</w:t>
      </w:r>
    </w:p>
    <w:p>
      <w:pPr>
        <w:pStyle w:val="FirstParagraph"/>
      </w:pPr>
      <w:r>
        <w:t xml:space="preserve">Naval use of mid-frequency active (MFA) sonar has been associated with injury and death of multiple species of marine mammals. Deep-diving beaked whales (family Ziphiidae) are particularly susceptible to naval sonar. The US Navy operates multiple training and testing facilities where MFA sonar is used regularly, and where cumulative sublethal impacts of exposure to MFA sonar could have negative effects on beaked whale populations. Responses of beaked whales to MFA sonar have been quantified in the form of risk functions for some species and regions. Here we develop a risk function for Blainville’s beaked whales</w:t>
      </w:r>
      <w:r>
        <w:t xml:space="preserve"> </w:t>
      </w:r>
      <w:r>
        <w:t xml:space="preserve"> </w:t>
      </w:r>
      <w:r>
        <w:t xml:space="preserve">on the Pacific Missile Range Facility (PMRF) in Hawaii and compare our risk function to another developed for the same species in a different ocean basin. We used passive acoustic data collected at bottom-mounted hydrophones before and during six naval training exercises at PMRF in conjunction with modelled sonar received levels to describe the effect of Naval training and MFA sonar on foraging groups of Blainville’s beaked whales. We used a multi-stage generalized additive modelling (GAM) approach to control for the underlying spatial distribution of Blainville’s beaked whales when modelling the effects of training activities and of MFA sonar. Our results show that at a MFA sonar received level of 150 dB re 1</w:t>
      </w:r>
      <m:oMath>
        <m:r>
          <m:t>μ</m:t>
        </m:r>
      </m:oMath>
      <w:r>
        <w:t xml:space="preserve">Pa the probability of detecting groups of Blainville’s beaked whales decreased by 78% (95% CI 62%-100%) when compared to periods when general Naval training activity was ongoing and by 92% (95% CI 87%-100%) when compared to pre-training baseline periods. These results indicate a more pronounced response to Naval training and MFA sonar than has been previously reported. In future, we would like to apply these methods to data from other Navy ranges to better understand how beaked whale responses to Naval training and sonar differ across species and locations.</w:t>
      </w:r>
    </w:p>
    <w:p>
      <w:pPr>
        <w:pStyle w:val="Heading1"/>
      </w:pPr>
      <w:bookmarkStart w:id="22" w:name="introduction"/>
      <w:bookmarkEnd w:id="22"/>
      <w:r>
        <w:t xml:space="preserve">1 Introduction</w:t>
      </w:r>
    </w:p>
    <w:p>
      <w:pPr>
        <w:pStyle w:val="FirstParagraph"/>
      </w:pPr>
      <w:r>
        <w:t xml:space="preserve">Beaked whales (family Ziphiidae) are a group of deep-diving cetaceans that rely on sound to forage, navigate, and communicate</w:t>
      </w:r>
      <w:r>
        <w:t xml:space="preserve"> </w:t>
      </w:r>
      <w:r>
        <w:t xml:space="preserve">(Aguilar de Soto et al., 2012; Johnson, Madsen, Zimmer, Aguilar de Soto, and Tyack, 2004; Macleod and D’Amico, 2006)</w:t>
      </w:r>
      <w:r>
        <w:t xml:space="preserve">. Multiple mass strandings of beaked whales have been associated with high-intensity anthropogenic sound sources. These acute events have motivated research into whether and how beaked whales respond to different types and intensities of anthropogenic noise</w:t>
      </w:r>
      <w:r>
        <w:t xml:space="preserve"> </w:t>
      </w:r>
      <w:r>
        <w:t xml:space="preserve">(Cox et al., 2006)</w:t>
      </w:r>
      <w:r>
        <w:t xml:space="preserve">.</w:t>
      </w:r>
    </w:p>
    <w:p>
      <w:pPr>
        <w:pStyle w:val="BodyText"/>
      </w:pPr>
      <w:r>
        <w:t xml:space="preserve">Anthropogenic sound can disrupt the patterned dive cycles of beaked whales</w:t>
      </w:r>
      <w:r>
        <w:t xml:space="preserve"> </w:t>
      </w:r>
      <w:r>
        <w:t xml:space="preserve">(Falcone et al., 2017)</w:t>
      </w:r>
      <w:r>
        <w:t xml:space="preserve">, potentially leading to death</w:t>
      </w:r>
      <w:r>
        <w:t xml:space="preserve"> </w:t>
      </w:r>
      <w:r>
        <w:t xml:space="preserve">(Jepson et al., 2003)</w:t>
      </w:r>
      <w:r>
        <w:t xml:space="preserve"> </w:t>
      </w:r>
      <w:r>
        <w:t xml:space="preserve">or to cumulative sublethal impacts</w:t>
      </w:r>
      <w:r>
        <w:t xml:space="preserve"> </w:t>
      </w:r>
      <w:r>
        <w:t xml:space="preserve">(L. F. New, Moretti, Hooker, Costa, and Simmons, 2013)</w:t>
      </w:r>
      <w:r>
        <w:t xml:space="preserve">. For example, research on Blainville’s beaked whales</w:t>
      </w:r>
      <w:r>
        <w:t xml:space="preserve"> </w:t>
      </w:r>
      <w:r>
        <w:t xml:space="preserve"> </w:t>
      </w:r>
      <w:r>
        <w:t xml:space="preserve">on a US Navy range in the Bahamas has shown that animals may stop foraging and/or move away from naval sonar sources</w:t>
      </w:r>
      <w:r>
        <w:t xml:space="preserve"> </w:t>
      </w:r>
      <w:r>
        <w:t xml:space="preserve">(Joyce et al., 2019; Tyack et al., 2011)</w:t>
      </w:r>
      <w:r>
        <w:t xml:space="preserve">.</w:t>
      </w:r>
    </w:p>
    <w:p>
      <w:pPr>
        <w:pStyle w:val="BodyText"/>
      </w:pPr>
      <w:r>
        <w:t xml:space="preserve">Naval sonar can be broadcast from various platforms, including vessels, helicopters, buoys, submarines, and torpedoes</w:t>
      </w:r>
      <w:r>
        <w:t xml:space="preserve"> </w:t>
      </w:r>
      <w:r>
        <w:t xml:space="preserve">(Harris et al., 2019; Navy, 2018)</w:t>
      </w:r>
      <w:r>
        <w:t xml:space="preserve">. Most research has focused on the impacts of mid-frequency active sonar (MFAS) broadcast from US Naval vessels. Separately, researchers have shown that, in the absence of MFAS, beaked whales may alter their behavior in response to vessel noise</w:t>
      </w:r>
      <w:r>
        <w:t xml:space="preserve"> </w:t>
      </w:r>
      <w:r>
        <w:t xml:space="preserve">(Aguilar Soto et al., 2006; Pirotta et al., 2012)</w:t>
      </w:r>
      <w:r>
        <w:t xml:space="preserve">.</w:t>
      </w:r>
    </w:p>
    <w:p>
      <w:pPr>
        <w:pStyle w:val="BodyText"/>
      </w:pPr>
      <w:r>
        <w:t xml:space="preserve">The US Navy is interested in quantifying the effects of sonar on beaked whales for the purpose of risk assessments and permitting associated with training activities [CITE?]. There are different experimental and analytical ways of quantifying responses to sonar. Here, we focus on analyses of data from cabled hydrophone arrays.</w:t>
      </w:r>
    </w:p>
    <w:p>
      <w:pPr>
        <w:pStyle w:val="BodyText"/>
      </w:pPr>
      <w:r>
        <w:t xml:space="preserve">For example,</w:t>
      </w:r>
      <w:r>
        <w:t xml:space="preserve"> </w:t>
      </w:r>
      <w:r>
        <w:t xml:space="preserve">(McCarthy et al., 2011)</w:t>
      </w:r>
      <w:r>
        <w:t xml:space="preserve"> </w:t>
      </w:r>
      <w:r>
        <w:t xml:space="preserve">used data from the cabled hydrophone array at the US Navy’s Atlantic Undersea Test and Evaluation Center (AUTEC) in the Bahamas collected before, during, and after naval training exercises involving MFAS. The authors used separate generalized additive models (GAMs) for each period, and modelled the acoustic detection of groups of Blainville’s beaked whales (group vocal periods; GVPs) as a function of location on the range and time. They found that the number of GVPs was lower during the exercises than before, and also lower during an exercise than after.</w:t>
      </w:r>
    </w:p>
    <w:p>
      <w:pPr>
        <w:pStyle w:val="BodyText"/>
      </w:pPr>
      <w:r>
        <w:t xml:space="preserve">Building on this work,</w:t>
      </w:r>
      <w:r>
        <w:t xml:space="preserve"> </w:t>
      </w:r>
      <w:r>
        <w:t xml:space="preserve">(Moretti et al., 2014)</w:t>
      </w:r>
      <w:r>
        <w:t xml:space="preserve"> </w:t>
      </w:r>
      <w:r>
        <w:t xml:space="preserve">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m:t>μ</m:t>
        </m:r>
      </m:oMath>
      <w:r>
        <w:t xml:space="preserve">Pa, which they interpreted as a 50% probability of disturbance.</w:t>
      </w:r>
    </w:p>
    <w:p>
      <w:pPr>
        <w:pStyle w:val="BodyText"/>
      </w:pPr>
      <w:r>
        <w:t xml:space="preserve">In the present study, our primary objective was to replicate the effort of Moretti et al.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pPr>
        <w:pStyle w:val="BodyText"/>
      </w:pPr>
      <w:r>
        <w:t xml:space="preserve">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pPr>
        <w:pStyle w:val="BodyText"/>
      </w:pPr>
      <w:r>
        <w:t xml:space="preserve">To accomplish these objectives, we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w:t>
      </w:r>
      <w:r>
        <w:t xml:space="preserve"> </w:t>
      </w:r>
      <w:r>
        <w:t xml:space="preserve">(Henderson, Martin, Manzano-Roth, and Matsuyama, 2016; Manzano-Roth, Henderson, Martin, Martin, and Matsuyama, 2016)</w:t>
      </w:r>
      <w:r>
        <w:t xml:space="preserve">.</w:t>
      </w:r>
    </w:p>
    <w:p>
      <w:pPr>
        <w:pStyle w:val="BodyText"/>
      </w:pPr>
      <w:r>
        <w:t xml:space="preserve">A series of three 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hull-mounted MFAS was present.</w:t>
      </w:r>
    </w:p>
    <w:p>
      <w:pPr>
        <w:pStyle w:val="Heading1"/>
      </w:pPr>
      <w:bookmarkStart w:id="23" w:name="methods"/>
      <w:bookmarkEnd w:id="23"/>
      <w:r>
        <w:t xml:space="preserve">2 Methods</w:t>
      </w:r>
    </w:p>
    <w:p>
      <w:pPr>
        <w:pStyle w:val="Heading2"/>
      </w:pPr>
      <w:bookmarkStart w:id="24" w:name="data-collection-and-processing"/>
      <w:bookmarkEnd w:id="24"/>
      <w:r>
        <w:t xml:space="preserve">2.1 Data Collection and Processing</w:t>
      </w:r>
    </w:p>
    <w:p>
      <w:pPr>
        <w:pStyle w:val="Heading3"/>
      </w:pPr>
      <w:bookmarkStart w:id="25" w:name="acoustic-detection-of-beaked-whales"/>
      <w:bookmarkEnd w:id="25"/>
      <w:r>
        <w:t xml:space="preserve">2.1.1 Acoustic detection of beaked whales</w:t>
      </w:r>
    </w:p>
    <w:p>
      <w:pPr>
        <w:pStyle w:val="FirstParagraph"/>
      </w:pPr>
      <w:r>
        <w:t xml:space="preserve">The Pacific Missile Range Facility (PMRF) is an instrumented U.S. Naval range extending 70 km NW of the island of Kauai, Hawaii and encompassing 2,800 km</w:t>
      </w:r>
      <w:r>
        <w:rPr>
          <w:vertAlign w:val="superscript"/>
        </w:rPr>
        <w:t xml:space="preserve">2</w:t>
      </w:r>
      <w:r>
        <w:t xml:space="preserve">. The range includes a cabled hydrophone array (Fig. 1) with hydrophones at depths ranging from approximately 650 m to 4,700 m. We used data collected before and during Submarine Commander Courses (SCCs) at the PMRF. SCCs are training exercises that occur biannually in February and August. SCCs typically last 6-7 days, and the period before the onset of the SCC is recorded for a minimum of 2 days. During data collection, hydrophones sampled at a rate of 96 kHz, with the high pass filter on each phone set at either 50 Hz, 100 Hz, or 10 kHz. Up to 62 of the range hydrophones were recorded simultaneously by the Naval Information Warfare Center (NIWC).</w:t>
      </w:r>
    </w:p>
    <w:p>
      <w:pPr>
        <w:pStyle w:val="BodyText"/>
      </w:pPr>
      <w:r>
        <w:t xml:space="preserve">A beaked whale detector from the Navy Acoustic Range WHale AnaLysis (NARWHAL) algorithm suite [CITE] was run on recordings from PMRF. This detector first compares signal-to-noise (SNR) thresholds within the expected beaked whale click frequency range (16 - 44 kHz) versus the bandwidth outside the click in a running 16384-pt fast Fourier transform (FFT) spectrogram. The detected clicks were then passed to a 64-pt FFT stage that measured power, bandwidth, slope, and duration characteristics to classify the clicks to species. This process was followed by an automated routine in Matlab (CITE Mathworks 2019) to group detections of individual beaked whale echolocation clicks into GVPs (CITE).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pPr>
        <w:pStyle w:val="FigureWithCaption"/>
      </w:pPr>
      <w:r>
        <w:drawing>
          <wp:inline>
            <wp:extent cx="5334000" cy="8001000"/>
            <wp:effectExtent b="0" l="0" r="0" t="0"/>
            <wp:docPr descr="Map of approximate locations of hydrophones (black points) at the Pacific Missile Range Facility near the island of Kauai, Hawaii. Color scale indicates bathymetry. Inset map shows range location relative to the Main Hawaiian Islands." title="" id="1" name="Picture"/>
            <a:graphic>
              <a:graphicData uri="http://schemas.openxmlformats.org/drawingml/2006/picture">
                <pic:pic>
                  <pic:nvPicPr>
                    <pic:cNvPr descr="../Figures/Map_Light.png" id="0" name="Picture"/>
                    <pic:cNvPicPr>
                      <a:picLocks noChangeArrowheads="1" noChangeAspect="1"/>
                    </pic:cNvPicPr>
                  </pic:nvPicPr>
                  <pic:blipFill>
                    <a:blip r:embed="rId26"/>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Map of approximate locations of hydrophones (black points) at the Pacific Missile Range Facility near the island of Kauai, Hawaii. Color scale indicates bathymetry. Inset map shows range location relative to the Main Hawaiian Islands.</w:t>
      </w:r>
    </w:p>
    <w:p>
      <w:pPr>
        <w:pStyle w:val="Heading3"/>
      </w:pPr>
      <w:bookmarkStart w:id="27" w:name="modelling-received-levels-of-hull-mounted-mid-frequency-active-sonar"/>
      <w:bookmarkEnd w:id="27"/>
      <w:r>
        <w:t xml:space="preserve">2.1.2 Modelling received levels of hull-mounted mid-frequency active sonar</w:t>
      </w:r>
    </w:p>
    <w:p>
      <w:pPr>
        <w:pStyle w:val="FirstParagraph"/>
      </w:pPr>
      <w:r>
        <w:t xml:space="preserve">Classified ship positional data and other activity that occured on the range during each SCC were provided by PMRF. These data indicated the locations of the ships during the training periods and the start and stop times of each individual training event, but no information was provided on the start and stop of sonar use. Periods of active sonar were determined by running a sonar detector from the NARWHAL algorithm suite tuned to MFAS. The locations of all surface ships were noted for each half-hour period and the closest ship to each hydrophone was determined. Propagation modelling was used to calculate the expected received level of hull-mounted mid-frequency active sonar at the location of each hydrophone from the closest ship during each half-hour period of each SCC.</w:t>
      </w:r>
    </w:p>
    <w:p>
      <w:pPr>
        <w:pStyle w:val="BodyText"/>
      </w:pPr>
      <w:r>
        <w:t xml:space="preserve">The 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don’t begin clicking until they have reached approximately XX m depth of their foraging dive and spend most of their foraging dive at around 1000 m (CITE).</w:t>
      </w:r>
    </w:p>
    <w:p>
      <w:pPr>
        <w:pStyle w:val="BodyText"/>
      </w:pPr>
      <w:r>
        <w:t xml:space="preserve">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w:t>
      </w:r>
      <w:r>
        <w:t xml:space="preserve"> </w:t>
      </w:r>
      <w:r>
        <w:t xml:space="preserve">(T. A. Marques, Thomas, Ward, DiMarzio, and Tyack, 2009; McCarthy et al., 2011)</w:t>
      </w:r>
      <w:r>
        <w:t xml:space="preserve">. Therefore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pPr>
        <w:pStyle w:val="Heading2"/>
      </w:pPr>
      <w:bookmarkStart w:id="28" w:name="spatial-modelling"/>
      <w:bookmarkEnd w:id="28"/>
      <w:r>
        <w:t xml:space="preserve">2.2 Spatial Modelling</w:t>
      </w:r>
    </w:p>
    <w:p>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Again, we used the predicted values from this model as an offset in a 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pPr>
        <w:pStyle w:val="Heading3"/>
      </w:pPr>
      <w:bookmarkStart w:id="29" w:name="determining-hydrophone-effort"/>
      <w:bookmarkEnd w:id="29"/>
      <w:r>
        <w:t xml:space="preserve">2.3.1 Determining hydrophone effort</w:t>
      </w:r>
    </w:p>
    <w:p>
      <w:pPr>
        <w:pStyle w:val="FirstParagraph"/>
      </w:pPr>
      <w:r>
        <w:t xml:space="preserve">For security reasons, randomly jittered locations and depths of hydrophones at PMRF were used. We projected the coordinates of each hydrophone into Universal Transverse Mercator Zone 4.</w:t>
      </w:r>
    </w:p>
    <w:p>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area effectively monitored by each hydrophone, we used a Voronoi tessellation implemented in the</w:t>
      </w:r>
      <w:r>
        <w:t xml:space="preserve"> </w:t>
      </w:r>
      <w:r>
        <w:t xml:space="preserve"> </w:t>
      </w:r>
      <w:r>
        <w:t xml:space="preserve">(R Core Team, 2018)</w:t>
      </w:r>
      <w:r>
        <w:t xml:space="preserve"> </w:t>
      </w:r>
      <w:r>
        <w:t xml:space="preserve">package</w:t>
      </w:r>
      <w:r>
        <w:t xml:space="preserve"> </w:t>
      </w:r>
      <w:r>
        <w:t xml:space="preserve"> </w:t>
      </w:r>
      <w:r>
        <w:t xml:space="preserve">(Turner, 2019)</w:t>
      </w:r>
      <w:r>
        <w:t xml:space="preserve"> </w:t>
      </w:r>
      <w:r>
        <w:t xml:space="preserve">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w:t>
      </w:r>
      <w:r>
        <w:t xml:space="preserve"> </w:t>
      </w:r>
      <w:r>
        <w:t xml:space="preserve">(T. A. Marques et al., 2009)</w:t>
      </w:r>
      <w:r>
        <w:t xml:space="preserve">. Different combinations of hydrophones were used during different SCCs, so separate tessellations were created for each SCC.</w:t>
      </w:r>
    </w:p>
    <w:p>
      <w:pPr>
        <w:pStyle w:val="Heading3"/>
      </w:pPr>
      <w:bookmarkStart w:id="30" w:name="m1-modelling-the-pre-activity-probability-of-dive-detection"/>
      <w:bookmarkEnd w:id="30"/>
      <w:r>
        <w:t xml:space="preserve">2.3.2 M1: Modelling the pre-activity probability of dive detection</w:t>
      </w:r>
    </w:p>
    <w:p>
      <w:pPr>
        <w:pStyle w:val="FirstParagraph"/>
      </w:pPr>
      <w:r>
        <w:t xml:space="preserve">We used data collected prior to SCCs, when no Naval ships were present on the range and no other Naval activity was known to occur, to model the spatial distribution of GVP detections across the range. The exact locations of beaked whale groups was not known; rather, detections of beaked whale groups were</w:t>
      </w:r>
      <w:r>
        <w:t xml:space="preserve"> </w:t>
      </w:r>
      <w:r>
        <w:t xml:space="preserve">“</w:t>
      </w:r>
      <w:r>
        <w:t xml:space="preserve">snapped</w:t>
      </w:r>
      <w:r>
        <w:t xml:space="preserve">”</w:t>
      </w:r>
      <w:r>
        <w:t xml:space="preserve"> </w:t>
      </w:r>
      <w:r>
        <w:t xml:space="preserve">to hydrophone locations depending on which hydrophone detected the most echolocation clicks. Therefore, the data were not continuous in space. To account for this, we used a Markov random field to model the spatial distribution of GVP detections. A Markov random field</w:t>
      </w:r>
      <w:r>
        <w:t xml:space="preserve"> </w:t>
      </w:r>
      <w:r>
        <w:t xml:space="preserve">(Rue and Held, 2005)</w:t>
      </w:r>
      <w:r>
        <w:t xml:space="preserve"> </w:t>
      </w:r>
      <w:r>
        <w:t xml:space="preserve">is a method for modelling correlation in space between discrete spatial units. Each unit is correlated more strongly with its neighbours (those units which touch) than those that are more hops away. This gives a graph structure, where distance between tiles is measured as the number of hops required. This is appropriate for our data as we did not know where in each tile a given GVP occured, but we assumed that it did occur in that tile.</w:t>
      </w:r>
    </w:p>
    <w:p>
      <w:pPr>
        <w:pStyle w:val="Compact"/>
      </w:pPr>
      <w:r>
        <w:t xml:space="preserve">The R package</w:t>
      </w:r>
      <w:r>
        <w:t xml:space="preserve"> </w:t>
      </w:r>
      <w:r>
        <w:t xml:space="preserve"> </w:t>
      </w:r>
      <w:r>
        <w:t xml:space="preserve">(S. N. Wood, 2017)</w:t>
      </w:r>
      <w:r>
        <w:t xml:space="preserve"> </w:t>
      </w:r>
      <w:r>
        <w:t xml:space="preserve">was used to formulate the model on the tessellation described in the previous section. The linear predictor for the model was: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sSub>
          <m:e>
            <m:r>
              <m:t>,</m:t>
            </m:r>
          </m:e>
          <m:sub>
            <m:r>
              <m:rPr>
                <m:sty m:val="p"/>
                <m:scr m:val="monospace"/>
              </m:rPr>
              <m:t>M1</m:t>
            </m:r>
            <m:r>
              <m:t>,</m:t>
            </m:r>
            <m:r>
              <m:t>i</m:t>
            </m:r>
          </m:sub>
        </m:sSub>
        <m:r>
          <m:t>)</m:t>
        </m:r>
      </m:oMath>
      <w:r>
        <w:t xml:space="preserve">. The spatial smooth MRF is given by</w:t>
      </w:r>
      <w:r>
        <w:t xml:space="preserve"> </w:t>
      </w:r>
      <m:oMath>
        <m:r>
          <m:t>f</m:t>
        </m:r>
        <m:r>
          <m:t>(</m:t>
        </m:r>
        <m:sSub>
          <m:e>
            <m:r>
              <m:rPr>
                <m:sty m:val="p"/>
                <m:scr m:val="monospace"/>
              </m:rPr>
              <m:t>MRF</m:t>
            </m:r>
          </m:e>
          <m:sub>
            <m:r>
              <m:t>i</m:t>
            </m:r>
          </m:sub>
        </m:sSub>
        <m:r>
          <m:t>)</m:t>
        </m:r>
      </m:oMath>
      <w:r>
        <w:t xml:space="preserve">,</w:t>
      </w:r>
      <w:r>
        <w:t xml:space="preserve"> </w:t>
      </w:r>
      <m:oMath>
        <m:r>
          <m:t>f</m:t>
        </m:r>
        <m:r>
          <m:t>(</m:t>
        </m:r>
        <m:sSub>
          <m:e>
            <m:r>
              <m:rPr>
                <m:sty m:val="p"/>
                <m:scr m:val="monospace"/>
              </m:rPr>
              <m:t>Depth</m:t>
            </m:r>
          </m:e>
          <m:sub>
            <m:r>
              <m:t>i</m:t>
            </m:r>
          </m:sub>
        </m:sSub>
        <m:r>
          <m:t>)</m:t>
        </m:r>
      </m:oMath>
      <w:r>
        <w:t xml:space="preserve"> </w:t>
      </w:r>
      <w:r>
        <w:t xml:space="preserve">is a smooth of depth (using a thin plate spline;</w:t>
      </w:r>
      <w:r>
        <w:t xml:space="preserve"> </w:t>
      </w:r>
      <w:r>
        <w:t xml:space="preserve">Simon N Wood (2003)</w:t>
      </w:r>
      <w:r>
        <w:t xml:space="preserve">) and</w:t>
      </w:r>
      <w:r>
        <w:t xml:space="preserve"> </w:t>
      </w:r>
      <m:oMath>
        <m:sSub>
          <m:e>
            <m:r>
              <m:rPr>
                <m:sty m:val="p"/>
              </m:rPr>
              <m:t>log</m:t>
            </m:r>
          </m:e>
          <m:sub>
            <m:r>
              <m:t>e</m:t>
            </m:r>
          </m:sub>
        </m:sSub>
        <m:sSub>
          <m:e>
            <m:r>
              <m:t>A</m:t>
            </m:r>
          </m:e>
          <m:sub>
            <m:r>
              <m:t>i</m:t>
            </m:r>
          </m:sub>
        </m:sSub>
      </m:oMath>
      <w:r>
        <w:t xml:space="preserve"> </w:t>
      </w:r>
      <w:r>
        <w:t xml:space="preserve">is an offset for the area (in</w:t>
      </w:r>
      <w:r>
        <w:t xml:space="preserve"> </w:t>
      </w:r>
      <m:oMath>
        <m:sSup>
          <m:e>
            <m:r>
              <m:rPr>
                <m:sty m:val="p"/>
              </m:rPr>
              <m:t>km</m:t>
            </m:r>
          </m:e>
          <m:sup>
            <m:r>
              <m:t>2</m:t>
            </m:r>
          </m:sup>
        </m:sSup>
      </m:oMath>
      <w:r>
        <w:t xml:space="preserve">) of each tile,</w:t>
      </w:r>
      <w:r>
        <w:t xml:space="preserve"> </w:t>
      </w:r>
      <m:oMath>
        <m:sSub>
          <m:e>
            <m:r>
              <m:t>A</m:t>
            </m:r>
          </m:e>
          <m:sub>
            <m:r>
              <m:t>i</m:t>
            </m:r>
          </m:sub>
        </m:sSub>
      </m:oMath>
      <w:r>
        <w:t xml:space="preserve">. The offset term accounts changes in probabilities of GVP detection due to the differing area monitored by each hydrophone. Because the hydrophone tessellation change between SCCs, separate MRFs were used for each SCC, but a single smoothing parameter was estimated across all MRFs. Therefore different spatial patterns could occur, but with the same amount of variation. The smooth of depth was shared across SCCs.</w:t>
      </w:r>
    </w:p>
    <w:p>
      <w:pPr>
        <w:pStyle w:val="BodyText"/>
      </w:pPr>
      <w:r>
        <w:t xml:space="preserve">NOTE: f(MRF) could be indexed by SCC to indicate that the smooth function is different for each.</w:t>
      </w:r>
    </w:p>
    <w:p>
      <w:pPr>
        <w:pStyle w:val="Heading3"/>
      </w:pPr>
      <w:bookmarkStart w:id="31" w:name="m2-modelling-the-effect-of-naval-activity"/>
      <w:bookmarkEnd w:id="31"/>
      <w:r>
        <w:t xml:space="preserve">2.3.3 M2: Modelling the effect of Naval activity</w:t>
      </w:r>
    </w:p>
    <w:p>
      <w:pPr>
        <w:pStyle w:val="FirstParagraph"/>
      </w:pPr>
      <w:r>
        <w:t xml:space="preserve">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model, but found that the measured noise levels were not consistent with known locations of Naval training activities (see Appendix B for details).</w:t>
      </w:r>
    </w:p>
    <w:p>
      <w:pPr>
        <w:pStyle w:val="Compact"/>
      </w:pPr>
      <w:r>
        <w:t xml:space="preserve">We used the predicted baseline probability of a GVP detection from Model 1 as an offset to control for the underlying spatial distribution of GVPs. The model for the data when ships were present was intercept-only, with an offset derived from</w:t>
      </w:r>
      <w:r>
        <w:t xml:space="preserve"> </w:t>
      </w:r>
      <w:r>
        <w:t xml:space="preserve">. This model was simply:</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M2</m:t>
            </m:r>
            <m:r>
              <m:t>,</m:t>
            </m:r>
            <m:r>
              <m:t>i</m:t>
            </m:r>
          </m:sub>
        </m:sSub>
        <m:r>
          <m:t>)</m:t>
        </m:r>
      </m:oMath>
      <w:r>
        <w:t xml:space="preserve">.</w:t>
      </w:r>
      <w:r>
        <w:t xml:space="preserve"> </w:t>
      </w:r>
      <m:oMath>
        <m:sSub>
          <m:e>
            <m:r>
              <m:t>ξ</m:t>
            </m:r>
          </m:e>
          <m:sub>
            <m:r>
              <m:rPr>
                <m:sty m:val="p"/>
                <m:scr m:val="monospace"/>
              </m:rPr>
              <m:t>M1</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using model</w:t>
      </w:r>
      <w:r>
        <w:t xml:space="preserve"> </w:t>
      </w:r>
      <m:oMath>
        <m:r>
          <m:rPr>
            <m:sty m:val="p"/>
            <m:scr m:val="monospace"/>
          </m:rPr>
          <m:t>M1</m:t>
        </m:r>
      </m:oMath>
      <w:r>
        <w:t xml:space="preserve">. This was again modeled in the R package</w:t>
      </w:r>
      <w:r>
        <w:t xml:space="preserve"> </w:t>
      </w:r>
      <w:r>
        <w:t xml:space="preserve">.</w:t>
      </w:r>
    </w:p>
    <w:p>
      <w:pPr>
        <w:pStyle w:val="Heading3"/>
      </w:pPr>
      <w:bookmarkStart w:id="32" w:name="m3-modelling-the-effect-of-hull-mounted-mfa-sonar"/>
      <w:bookmarkEnd w:id="32"/>
      <w:r>
        <w:t xml:space="preserve">2.3.4 M3: Modelling the effect of hull-mounted MFA sonar</w:t>
      </w:r>
    </w:p>
    <w:p>
      <w:pPr>
        <w:pStyle w:val="Compact"/>
      </w:pPr>
      <w:r>
        <w:t xml:space="preserve">We used data collected when hull-mounted MFA sonar was present on the range to model the effect of sonar on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pPr>
        <w:pStyle w:val="BodyText"/>
      </w:pPr>
      <w:r>
        <w:t xml:space="preserve">where</w:t>
      </w:r>
      <w:r>
        <w:t xml:space="preserve"> </w:t>
      </w:r>
      <m:oMath>
        <m:sSub>
          <m:e>
            <m:r>
              <m:rPr>
                <m:sty m:val="p"/>
                <m:scr m:val="monospace"/>
              </m:rPr>
              <m:t>DivePresent</m:t>
            </m:r>
          </m:e>
          <m:sub>
            <m:r>
              <m:t>i</m:t>
            </m:r>
          </m:sub>
        </m:sSub>
        <m:r>
          <m:t>∼</m:t>
        </m:r>
        <m:r>
          <m:rPr>
            <m:sty m:val="p"/>
          </m:rPr>
          <m:t>Bin</m:t>
        </m:r>
        <m:r>
          <m:t>(</m:t>
        </m:r>
        <m:r>
          <m:t>1</m:t>
        </m:r>
        <m:r>
          <m:t>,</m:t>
        </m:r>
        <m:sSub>
          <m:e>
            <m:r>
              <m:t>μ</m:t>
            </m:r>
          </m:e>
          <m:sub>
            <m:r>
              <m:rPr>
                <m:sty m:val="p"/>
                <m:scr m:val="monospace"/>
              </m:rPr>
              <m:t>M3</m:t>
            </m:r>
            <m:r>
              <m:t>,</m:t>
            </m:r>
            <m:r>
              <m:t>i</m:t>
            </m:r>
          </m:sub>
        </m:sSub>
        <m:r>
          <m:t>)</m:t>
        </m:r>
      </m:oMath>
      <w:r>
        <w:t xml:space="preserve">.</w:t>
      </w:r>
      <w:r>
        <w:t xml:space="preserve"> </w:t>
      </w:r>
      <m:oMath>
        <m:r>
          <m:t>f</m:t>
        </m:r>
        <m:r>
          <m:t>(</m:t>
        </m:r>
        <m:sSub>
          <m:e>
            <m:r>
              <m:rPr>
                <m:sty m:val="p"/>
                <m:scr m:val="monospace"/>
              </m:rPr>
              <m:t>MaxRL</m:t>
            </m:r>
          </m:e>
          <m:sub>
            <m:r>
              <m:t>i</m:t>
            </m:r>
          </m:sub>
        </m:sSub>
        <m:r>
          <m:t>)</m:t>
        </m:r>
      </m:oMath>
      <w:r>
        <w:t xml:space="preserve"> </w:t>
      </w:r>
      <w:r>
        <w:t xml:space="preserve">was modeled as a monotonic decreasing smooth using the R package</w:t>
      </w:r>
      <w:r>
        <w:t xml:space="preserve"> </w:t>
      </w:r>
      <w:r>
        <w:t xml:space="preserve"> </w:t>
      </w:r>
      <w:r>
        <w:t xml:space="preserve">(Pya and Wood, 2015)</w:t>
      </w:r>
      <w:r>
        <w:t xml:space="preserve">.</w:t>
      </w:r>
      <w:r>
        <w:t xml:space="preserve"> </w:t>
      </w:r>
      <m:oMath>
        <m:sSub>
          <m:e>
            <m:r>
              <m:t>ξ</m:t>
            </m:r>
          </m:e>
          <m:sub>
            <m:r>
              <m:rPr>
                <m:sty m:val="p"/>
                <m:scr m:val="monospace"/>
              </m:rPr>
              <m:t>M2</m:t>
            </m:r>
            <m:r>
              <m:t>,</m:t>
            </m:r>
            <m:r>
              <m:t>i</m:t>
            </m:r>
          </m:sub>
        </m:sSub>
      </m:oMath>
      <w:r>
        <w:t xml:space="preserve"> </w:t>
      </w:r>
      <w:r>
        <w:t xml:space="preserve">denotes the prediction (on the</w:t>
      </w:r>
      <w:r>
        <w:t xml:space="preserve"> </w:t>
      </w:r>
      <m:oMath>
        <m:r>
          <m:rPr>
            <m:sty m:val="p"/>
          </m:rPr>
          <m:t>logit</m:t>
        </m:r>
      </m:oMath>
      <w:r>
        <w:t xml:space="preserve"> </w:t>
      </w:r>
      <w:r>
        <w:t xml:space="preserve">scale) for tile</w:t>
      </w:r>
      <w:r>
        <w:t xml:space="preserve"> </w:t>
      </w:r>
      <m:oMath>
        <m:r>
          <m:t>i</m:t>
        </m:r>
      </m:oMath>
      <w:r>
        <w:t xml:space="preserve"> </w:t>
      </w:r>
      <w:r>
        <w:t xml:space="preserve">when Naval training activites were present on the range using model</w:t>
      </w:r>
      <w:r>
        <w:t xml:space="preserve"> </w:t>
      </w:r>
      <m:oMath>
        <m:r>
          <m:rPr>
            <m:sty m:val="p"/>
            <m:scr m:val="monospace"/>
          </m:rPr>
          <m:t>M2</m:t>
        </m:r>
      </m:oMath>
      <w:r>
        <w:t xml:space="preserve">.</w:t>
      </w:r>
    </w:p>
    <w:p>
      <w:pPr>
        <w:pStyle w:val="Heading3"/>
      </w:pPr>
      <w:bookmarkStart w:id="33" w:name="uncertainty-propagation"/>
      <w:bookmarkEnd w:id="33"/>
      <w:r>
        <w:t xml:space="preserve">2.3.5 Uncertainty propagation</w:t>
      </w:r>
    </w:p>
    <w:p>
      <w:pPr>
        <w:pStyle w:val="Compact"/>
      </w:pPr>
      <w:r>
        <w:t xml:space="preserve">We used posterior simulation to propagate uncertainty through M1, M2, and M3. Each model was fitted via restricted maximum likelihood (REML;</w:t>
      </w:r>
      <w:r>
        <w:t xml:space="preserve"> </w:t>
      </w:r>
      <w:r>
        <w:t xml:space="preserve">Wood (2008)</w:t>
      </w:r>
      <w:r>
        <w:t xml:space="preserve">), so the results are empirical Bayes estimates. In this case we can generate samples from the (multivariate normal) posterior of the model parameters, using mvtnorm?. After generating a sample,</w:t>
      </w:r>
      <w:r>
        <w:t xml:space="preserve"> </w:t>
      </w:r>
      <m:oMath>
        <m:sSup>
          <m:e>
            <m:r>
              <m:rPr>
                <m:sty m:val="b"/>
              </m:rPr>
              <m:t>β</m:t>
            </m:r>
          </m:e>
          <m:sup>
            <m:r>
              <m:t>*</m:t>
            </m:r>
          </m:sup>
        </m:sSup>
        <m:r>
          <m:t>∼</m:t>
        </m:r>
        <m:r>
          <m:rPr>
            <m:sty m:val="p"/>
          </m:rPr>
          <m:t>MVN</m:t>
        </m:r>
        <m:r>
          <m:t>(</m:t>
        </m:r>
        <m:groupChr>
          <m:groupChrPr>
            <m:chr m:val="^"/>
            <m:pos m:val="top"/>
            <m:vertJc m:val="bot"/>
          </m:groupChrPr>
          <m:e>
            <m:r>
              <m:rPr>
                <m:sty m:val="b"/>
              </m:rPr>
              <m:t>β</m:t>
            </m:r>
          </m:e>
        </m:groupChr>
        <m:r>
          <m:t>,</m:t>
        </m:r>
        <m:sSub>
          <m:e>
            <m:r>
              <m:rPr>
                <m:sty m:val="b"/>
              </m:rPr>
              <m:t>V</m:t>
            </m:r>
          </m:e>
          <m:sub>
            <m:r>
              <m:rPr>
                <m:sty m:val="b"/>
              </m:rPr>
              <m:t>β</m:t>
            </m:r>
          </m:sub>
        </m:sSub>
        <m:r>
          <m:t>)</m:t>
        </m:r>
      </m:oMath>
      <w:r>
        <w:t xml:space="preserve">, we can use the matrix that maps the model parameters to the predictions on the linear predictor scale (often referred to as the</w:t>
      </w:r>
      <w:r>
        <w:t xml:space="preserve"> </w:t>
      </w:r>
      <m:oMath>
        <m:sSub>
          <m:e>
            <m:r>
              <m:rPr>
                <m:sty m:val="b"/>
              </m:rPr>
              <m:t>L</m:t>
            </m:r>
          </m:e>
          <m:sub>
            <m:r>
              <m:t>p</m:t>
            </m:r>
          </m:sub>
        </m:sSub>
      </m:oMath>
      <w:r>
        <w:t xml:space="preserve"> </w:t>
      </w:r>
      <w:r>
        <w:t xml:space="preserve">matrix or</w:t>
      </w:r>
      <w:r>
        <w:t xml:space="preserve"> </w:t>
      </w:r>
      <m:oMath>
        <m:sSub>
          <m:e>
            <m:r>
              <m:rPr>
                <m:sty m:val="b"/>
              </m:rPr>
              <m:t>X</m:t>
            </m:r>
          </m:e>
          <m:sub>
            <m:r>
              <m:t>p</m:t>
            </m:r>
          </m:sub>
        </m:sSub>
      </m:oMath>
      <w:r>
        <w:t xml:space="preserve"> </w:t>
      </w:r>
      <w:r>
        <w:t xml:space="preserve">matrix;</w:t>
      </w:r>
      <w:r>
        <w:t xml:space="preserve"> </w:t>
      </w:r>
      <w:r>
        <w:t xml:space="preserve">Wood, Li, Shaddick, and Augustin (2017)</w:t>
      </w:r>
      <w:r>
        <w:t xml:space="preserve">; section 7.2.6), along with the inverse link function to generate predictions for each posterior sample. Here the</w:t>
      </w:r>
      <w:r>
        <w:t xml:space="preserve"> </w:t>
      </w:r>
      <m:oMath>
        <m:r>
          <m:rPr>
            <m:sty m:val="b"/>
          </m:rPr>
          <m:t>β</m:t>
        </m:r>
      </m:oMath>
      <w:r>
        <w:t xml:space="preserve"> </w:t>
      </w:r>
      <w:r>
        <w:t xml:space="preserve">for each model includes the coefficients for the smooth terms in the model and fixed effects (e.g., intercept) if present. Predictions,</w:t>
      </w:r>
      <w:r>
        <w:t xml:space="preserve"> </w:t>
      </w:r>
      <m:oMath>
        <m:sSup>
          <m:e>
            <m:r>
              <m:rPr>
                <m:sty m:val="b"/>
              </m:rPr>
              <m:t>μ</m:t>
            </m:r>
          </m:e>
          <m:sup>
            <m:r>
              <m:t>*</m:t>
            </m:r>
          </m:sup>
        </m:sSup>
      </m:oMath>
      <w:r>
        <w:t xml:space="preserve">, can be written as:</w:t>
      </w:r>
    </w:p>
    <w:p>
      <w:pPr>
        <w:pStyle w:val="BodyText"/>
      </w:pPr>
      <w:r>
        <w:t xml:space="preserve">where</w:t>
      </w:r>
      <w:r>
        <w:t xml:space="preserve"> </w:t>
      </w:r>
      <m:oMath>
        <m:r>
          <m:t>g</m:t>
        </m:r>
      </m:oMath>
      <w:r>
        <w:t xml:space="preserve"> </w:t>
      </w:r>
      <w:r>
        <w:t xml:space="preserve">is the link function,</w:t>
      </w:r>
      <w:r>
        <w:t xml:space="preserve"> </w:t>
      </w:r>
      <m:oMath>
        <m:sSup>
          <m:e>
            <m:r>
              <m:rPr>
                <m:sty m:val="b"/>
              </m:rPr>
              <m:t>η</m:t>
            </m:r>
          </m:e>
          <m:sup>
            <m:r>
              <m:t>*</m:t>
            </m:r>
          </m:sup>
        </m:sSup>
      </m:oMath>
      <w:r>
        <w:t xml:space="preserve"> </w:t>
      </w:r>
      <w:r>
        <w:t xml:space="preserve">is the linear predictor and</w:t>
      </w:r>
      <w:r>
        <w:t xml:space="preserve"> </w:t>
      </w:r>
      <m:oMath>
        <m:r>
          <m:rPr>
            <m:sty m:val="b"/>
          </m:rPr>
          <m:t>ξ</m:t>
        </m:r>
      </m:oMath>
      <w:r>
        <w:t xml:space="preserve"> </w:t>
      </w:r>
      <w:r>
        <w:t xml:space="preserve">is any offset used by this prediction. By sampling from the posterior of</w:t>
      </w:r>
      <w:r>
        <w:t xml:space="preserve"> </w:t>
      </w:r>
      <m:oMath>
        <m:groupChr>
          <m:groupChrPr>
            <m:chr m:val="^"/>
            <m:pos m:val="top"/>
            <m:vertJc m:val="bot"/>
          </m:groupChrPr>
          <m:e>
            <m:r>
              <m:rPr>
                <m:sty m:val="b"/>
              </m:rPr>
              <m:t>β</m:t>
            </m:r>
          </m:e>
        </m:groupChr>
      </m:oMath>
      <w:r>
        <w:t xml:space="preserve">, and then taking the variance of the resulting predictions we can obtain variance estimates (</w:t>
      </w:r>
      <w:r>
        <w:t xml:space="preserve">Wood et al. (2017)</w:t>
      </w:r>
      <w:r>
        <w:t xml:space="preserve">;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pPr>
        <w:pStyle w:val="Compact"/>
      </w:pPr>
      <w:r>
        <w:t xml:space="preserve">An algorithm for calculating the variance from our multi-stage approach is as follows. First define</w:t>
      </w:r>
      <w:r>
        <w:t xml:space="preserve"> </w:t>
      </w:r>
      <m:oMath>
        <m:sSub>
          <m:e>
            <m:r>
              <m:t>N</m:t>
            </m:r>
          </m:e>
          <m:sub>
            <m:r>
              <m:t>b</m:t>
            </m:r>
          </m:sub>
        </m:sSub>
      </m:oMath>
      <w:r>
        <w:t xml:space="preserve"> </w:t>
      </w:r>
      <w:r>
        <w:t xml:space="preserve">as the number of samples to make, let</w:t>
      </w:r>
      <w:r>
        <w:t xml:space="preserve"> </w:t>
      </w:r>
      <m:oMath>
        <m:sSub>
          <m:e>
            <m:r>
              <m:rPr>
                <m:sty m:val="b"/>
              </m:rPr>
              <m:t>X</m:t>
            </m:r>
          </m:e>
          <m:sub>
            <m:r>
              <m:t>p</m:t>
            </m:r>
            <m:r>
              <m:t>,</m:t>
            </m:r>
            <m:r>
              <m:rPr>
                <m:sty m:val="p"/>
                <m:scr m:val="monospace"/>
              </m:rPr>
              <m:t>M</m:t>
            </m:r>
            <m:r>
              <m:t>j</m:t>
            </m:r>
          </m:sub>
        </m:sSub>
      </m:oMath>
      <w:r>
        <w:t xml:space="preserve"> </w:t>
      </w:r>
      <w:r>
        <w:t xml:space="preserve">for</w:t>
      </w:r>
      <w:r>
        <w:t xml:space="preserve"> </w:t>
      </w:r>
      <m:oMath>
        <m:r>
          <m:t>j</m:t>
        </m:r>
        <m:r>
          <m:t>=</m:t>
        </m:r>
        <m:r>
          <m:t>1</m:t>
        </m:r>
        <m:r>
          <m:t>,</m:t>
        </m:r>
        <m:r>
          <m:t>2</m:t>
        </m:r>
        <m:r>
          <m:t>,</m:t>
        </m:r>
        <m:r>
          <m:t>3</m:t>
        </m:r>
      </m:oMath>
      <w:r>
        <w:t xml:space="preserve"> </w:t>
      </w:r>
      <w:r>
        <w:t xml:space="preserve">be the</w:t>
      </w:r>
      <w:r>
        <w:t xml:space="preserve"> </w:t>
      </w:r>
      <m:oMath>
        <m:sSub>
          <m:e>
            <m:r>
              <m:rPr>
                <m:sty m:val="b"/>
              </m:rPr>
              <m:t>L</m:t>
            </m:r>
          </m:e>
          <m:sub>
            <m:r>
              <m:t>p</m:t>
            </m:r>
          </m:sub>
        </m:sSub>
      </m:oMath>
      <w:r>
        <w:t xml:space="preserve"> </w:t>
      </w:r>
      <w:r>
        <w:t xml:space="preserve">matrix that maps coefficients to the predictions for model</w:t>
      </w:r>
      <w:r>
        <w:t xml:space="preserve"> </w:t>
      </w:r>
      <m:oMath>
        <m:r>
          <m:rPr>
            <m:sty m:val="p"/>
            <m:scr m:val="monospace"/>
          </m:rPr>
          <m:t>M</m:t>
        </m:r>
        <m:r>
          <m:t>j</m:t>
        </m:r>
      </m:oMath>
      <w:r>
        <w:t xml:space="preserve">. For</w:t>
      </w:r>
      <w:r>
        <w:t xml:space="preserve"> </w:t>
      </w:r>
      <m:oMath>
        <m:sSub>
          <m:e>
            <m:r>
              <m:t>N</m:t>
            </m:r>
          </m:e>
          <m:sub>
            <m:r>
              <m:t>b</m:t>
            </m:r>
          </m:sub>
        </m:sSub>
      </m:oMath>
      <w:r>
        <w:t xml:space="preserve"> </w:t>
      </w:r>
      <w:r>
        <w:t xml:space="preserve">times:</w:t>
      </w:r>
    </w:p>
    <w:p>
      <w:pPr>
        <w:pStyle w:val="BodyText"/>
      </w:pPr>
      <w:r>
        <w:t xml:space="preserve">We can then calculate summary statistics (means and variances)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M1</m:t>
                </m:r>
              </m:e>
              <m:sup>
                <m:r>
                  <m:t>′</m:t>
                </m:r>
              </m:sup>
            </m:sSup>
          </m:sub>
        </m:sSub>
      </m:oMath>
      <w:r>
        <w:t xml:space="preserve">,</w:t>
      </w:r>
      <w:r>
        <w:t xml:space="preserve"> </w:t>
      </w:r>
      <m:oMath>
        <m:sSub>
          <m:e>
            <m:r>
              <m:rPr>
                <m:sty m:val="b"/>
              </m:rPr>
              <m:t>μ</m:t>
            </m:r>
          </m:e>
          <m:sub>
            <m:sSup>
              <m:e>
                <m:r>
                  <m:rPr>
                    <m:sty m:val="p"/>
                    <m:scr m:val="monospace"/>
                  </m:rPr>
                  <m:t>M2</m:t>
                </m:r>
              </m:e>
              <m:sup>
                <m:r>
                  <m:t>′</m:t>
                </m:r>
              </m:sup>
            </m:sSup>
          </m:sub>
        </m:sSub>
      </m:oMath>
      <w:r>
        <w:t xml:space="preserve">, and</w:t>
      </w:r>
      <w:r>
        <w:t xml:space="preserve"> </w:t>
      </w:r>
      <m:oMath>
        <m:sSub>
          <m:e>
            <m:r>
              <m:rPr>
                <m:sty m:val="b"/>
              </m:rPr>
              <m:t>μ</m:t>
            </m:r>
          </m:e>
          <m:sub>
            <m:sSup>
              <m:e>
                <m:r>
                  <m:rPr>
                    <m:sty m:val="p"/>
                    <m:scr m:val="monospace"/>
                  </m:rPr>
                  <m:t>M3</m:t>
                </m:r>
              </m:e>
              <m:sup>
                <m:r>
                  <m:t>′</m:t>
                </m:r>
              </m:sup>
            </m:sSup>
          </m:sub>
        </m:sSub>
      </m:oMath>
      <w:r>
        <w:t xml:space="preserve"> </w:t>
      </w:r>
      <w:r>
        <w:t xml:space="preserve">we have generated. The empirical variance of the</w:t>
      </w:r>
      <w:r>
        <w:t xml:space="preserve"> </w:t>
      </w:r>
      <m:oMath>
        <m:sSub>
          <m:e>
            <m:r>
              <m:t>N</m:t>
            </m:r>
          </m:e>
          <m:sub>
            <m:r>
              <m:t>b</m:t>
            </m:r>
          </m:sub>
        </m:sSub>
      </m:oMath>
      <w:r>
        <w:t xml:space="preserve"> </w:t>
      </w:r>
      <w:r>
        <w:t xml:space="preserve">values of</w:t>
      </w:r>
      <w:r>
        <w:t xml:space="preserve"> </w:t>
      </w:r>
      <m:oMath>
        <m:sSub>
          <m:e>
            <m:r>
              <m:rPr>
                <m:sty m:val="b"/>
              </m:rPr>
              <m:t>μ</m:t>
            </m:r>
          </m:e>
          <m:sub>
            <m:sSup>
              <m:e>
                <m:r>
                  <m:rPr>
                    <m:sty m:val="p"/>
                    <m:scr m:val="monospace"/>
                  </m:rPr>
                  <m:t>M3</m:t>
                </m:r>
              </m:e>
              <m:sup>
                <m:r>
                  <m:t>′</m:t>
                </m:r>
              </m:sup>
            </m:sSup>
          </m:sub>
        </m:sSub>
      </m:oMath>
      <w:r>
        <w:t xml:space="preserve"> </w:t>
      </w:r>
      <w:r>
        <w:t xml:space="preserve">will give the uncertainty, incorporating components from all three models. We can take appropriate pointwise quantiles to form confidence bands for the functional relationships between sonar received level and estimated probability of detecting GVPs.</w:t>
      </w:r>
    </w:p>
    <w:p>
      <w:pPr>
        <w:pStyle w:val="Heading3"/>
      </w:pPr>
      <w:bookmarkStart w:id="34" w:name="quantifying-the-change-in-probability-of-gvps"/>
      <w:bookmarkEnd w:id="34"/>
      <w:r>
        <w:t xml:space="preserve">2.3.6 Quantifying the change in probability of GVPs</w:t>
      </w:r>
    </w:p>
    <w:p>
      <w:pPr>
        <w:pStyle w:val="FirstParagraph"/>
      </w:pPr>
      <w:r>
        <w:t xml:space="preserve">Finally, we calculated the expected change in</w:t>
      </w:r>
      <w:r>
        <w:t xml:space="preserve"> </w:t>
      </w:r>
      <m:oMath>
        <m:r>
          <m:rPr>
            <m:sty m:val="p"/>
            <m:scr m:val="double-struck"/>
          </m:rPr>
          <m:t>P</m:t>
        </m:r>
        <m:r>
          <m:t>(</m:t>
        </m:r>
        <m:r>
          <m:rPr>
            <m:sty m:val="p"/>
          </m:rPr>
          <m:t>GVP</m:t>
        </m:r>
        <m:r>
          <m:t>)</m:t>
        </m:r>
      </m:oMath>
      <w:r>
        <w:t xml:space="preserve"> </w:t>
      </w:r>
      <w:r>
        <w:t xml:space="preserve">relative to either the distribution of GVPs when no general Naval training activity was present and no MFA sonar was present (</w:t>
      </w:r>
      <m:oMath>
        <m:sSub>
          <m:e>
            <m:r>
              <m:t>Δ</m:t>
            </m:r>
          </m:e>
          <m:sub>
            <m:r>
              <m:t>M</m:t>
            </m:r>
            <m:r>
              <m:t>3</m:t>
            </m:r>
            <m:r>
              <m:t>′</m:t>
            </m:r>
            <m:r>
              <m:t>:</m:t>
            </m:r>
            <m:r>
              <m:t>M</m:t>
            </m:r>
            <m:r>
              <m:t>1</m:t>
            </m:r>
            <m:r>
              <m:t>′</m:t>
            </m:r>
          </m:sub>
        </m:sSub>
      </m:oMath>
      <w:r>
        <w:t xml:space="preserve">), or relative to the distribution of GVPs when general Naval training activity was present but no MFA sonar was present (</w:t>
      </w:r>
      <m:oMath>
        <m:sSub>
          <m:e>
            <m:r>
              <m:t>Δ</m:t>
            </m:r>
          </m:e>
          <m:sub>
            <m:r>
              <m:t>M</m:t>
            </m:r>
            <m:r>
              <m:t>3</m:t>
            </m:r>
            <m:r>
              <m:t>′</m:t>
            </m:r>
            <m:r>
              <m:t>:</m:t>
            </m:r>
            <m:r>
              <m:t>M</m:t>
            </m:r>
            <m:r>
              <m:t>2</m:t>
            </m:r>
            <m:r>
              <m:t>′</m:t>
            </m:r>
          </m:sub>
        </m:sSub>
      </m:oMath>
      <w:r>
        <w:t xml:space="preserve">).</w:t>
      </w:r>
    </w:p>
    <w:p>
      <w:pPr>
        <w:pStyle w:val="Compact"/>
      </w:pPr>
      <w:r>
        <w:t xml:space="preserve">Using the</w:t>
      </w:r>
      <w:r>
        <w:t xml:space="preserve"> </w:t>
      </w:r>
      <m:oMath>
        <m:sSub>
          <m:e>
            <m:r>
              <m:t>N</m:t>
            </m:r>
          </m:e>
          <m:sub>
            <m:r>
              <m:t>b</m:t>
            </m:r>
          </m:sub>
        </m:sSub>
      </m:oMath>
      <w:r>
        <w:t xml:space="preserve"> </w:t>
      </w:r>
      <w:r>
        <w:t xml:space="preserve">bootstrapped model realizations we calculated the expected</w:t>
      </w:r>
      <w:r>
        <w:t xml:space="preserve"> </w:t>
      </w:r>
      <m:oMath>
        <m:r>
          <m:rPr>
            <m:sty m:val="p"/>
            <m:scr m:val="double-struck"/>
          </m:rPr>
          <m:t>P</m:t>
        </m:r>
        <m:r>
          <m:t>(</m:t>
        </m:r>
        <m:r>
          <m:rPr>
            <m:sty m:val="p"/>
          </m:rPr>
          <m:t>GVP</m:t>
        </m:r>
        <m:r>
          <m:t>)</m:t>
        </m:r>
      </m:oMath>
      <w:r>
        <w:t xml:space="preserve"> </w:t>
      </w:r>
      <w:r>
        <w:t xml:space="preserve">under each set of covariates as</w:t>
      </w:r>
    </w:p>
    <w:p>
      <w:pPr>
        <w:pStyle w:val="Compact"/>
      </w:pPr>
      <w:r>
        <w:t xml:space="preserve">for each</w:t>
      </w:r>
      <w:r>
        <w:t xml:space="preserve"> </w:t>
      </w:r>
      <m:oMath>
        <m:sSup>
          <m:e>
            <m:r>
              <m:rPr>
                <m:sty m:val="p"/>
                <m:scr m:val="monospace"/>
              </m:rPr>
              <m:t>M1</m:t>
            </m:r>
          </m:e>
          <m:sup>
            <m:r>
              <m:t>′</m:t>
            </m:r>
          </m:sup>
        </m:sSup>
      </m:oMath>
      <w:r>
        <w:t xml:space="preserve">,</w:t>
      </w:r>
      <w:r>
        <w:t xml:space="preserve"> </w:t>
      </w:r>
      <m:oMath>
        <m:sSup>
          <m:e>
            <m:r>
              <m:rPr>
                <m:sty m:val="p"/>
                <m:scr m:val="monospace"/>
              </m:rPr>
              <m:t>M2</m:t>
            </m:r>
          </m:e>
          <m:sup>
            <m:r>
              <m:t>′</m:t>
            </m:r>
          </m:sup>
        </m:sSup>
      </m:oMath>
      <w:r>
        <w:t xml:space="preserve">, and</w:t>
      </w:r>
      <w:r>
        <w:t xml:space="preserve"> </w:t>
      </w:r>
      <m:oMath>
        <m:sSup>
          <m:e>
            <m:r>
              <m:rPr>
                <m:sty m:val="p"/>
                <m:scr m:val="monospace"/>
              </m:rPr>
              <m:t>M3</m:t>
            </m:r>
          </m:e>
          <m:sup>
            <m:r>
              <m:t>′</m:t>
            </m:r>
          </m:sup>
        </m:sSup>
      </m:oMath>
      <w:r>
        <w:t xml:space="preserve">. Then, we calculated the change in</w:t>
      </w:r>
      <w:r>
        <w:t xml:space="preserve"> </w:t>
      </w:r>
      <m:oMath>
        <m:r>
          <m:rPr>
            <m:sty m:val="p"/>
            <m:scr m:val="double-struck"/>
          </m:rPr>
          <m:t>P</m:t>
        </m:r>
        <m:r>
          <m:t>(</m:t>
        </m:r>
        <m:r>
          <m:rPr>
            <m:sty m:val="p"/>
          </m:rPr>
          <m:t>GVP</m:t>
        </m:r>
        <m:r>
          <m:t>)</m:t>
        </m:r>
      </m:oMath>
      <w:r>
        <w:t xml:space="preserve"> </w:t>
      </w:r>
      <w:r>
        <w:t xml:space="preserve">for each set of covariates</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M1</m:t>
            </m:r>
          </m:e>
          <m:sup>
            <m:r>
              <m:t>′</m:t>
            </m:r>
          </m:sup>
        </m:sSup>
      </m:oMath>
      <w:r>
        <w:t xml:space="preserve"> </w:t>
      </w:r>
      <w:r>
        <w:t xml:space="preserve">(</w:t>
      </w:r>
      <m:oMath>
        <m:sSub>
          <m:e>
            <m:r>
              <m:t>Δ</m:t>
            </m:r>
          </m:e>
          <m:sub>
            <m:r>
              <m:t>M</m:t>
            </m:r>
            <m:r>
              <m:t>3</m:t>
            </m:r>
            <m:r>
              <m:t>′</m:t>
            </m:r>
            <m:r>
              <m:t>:</m:t>
            </m:r>
            <m:r>
              <m:t>M</m:t>
            </m:r>
            <m:r>
              <m:t>1</m:t>
            </m:r>
            <m:r>
              <m:t>′</m:t>
            </m:r>
          </m:sub>
        </m:sSub>
      </m:oMath>
      <w:r>
        <w:t xml:space="preserve">) and between</w:t>
      </w:r>
      <w:r>
        <w:t xml:space="preserve"> </w:t>
      </w:r>
      <m:oMath>
        <m:sSup>
          <m:e>
            <m:r>
              <m:rPr>
                <m:sty m:val="p"/>
                <m:scr m:val="monospace"/>
              </m:rPr>
              <m:t>M3</m:t>
            </m:r>
          </m:e>
          <m:sup>
            <m:r>
              <m:t>′</m:t>
            </m:r>
          </m:sup>
        </m:sSup>
      </m:oMath>
      <w:r>
        <w:t xml:space="preserve"> </w:t>
      </w:r>
      <w:r>
        <w:t xml:space="preserve">and</w:t>
      </w:r>
      <w:r>
        <w:t xml:space="preserve"> </w:t>
      </w:r>
      <m:oMath>
        <m:sSup>
          <m:e>
            <m:r>
              <m:rPr>
                <m:sty m:val="p"/>
                <m:scr m:val="monospace"/>
              </m:rPr>
              <m:t>M2</m:t>
            </m:r>
          </m:e>
          <m:sup>
            <m:r>
              <m:t>′</m:t>
            </m:r>
          </m:sup>
        </m:sSup>
      </m:oMath>
      <w:r>
        <w:t xml:space="preserve"> </w:t>
      </w:r>
      <w:r>
        <w:t xml:space="preserve">(</w:t>
      </w:r>
      <m:oMath>
        <m:sSub>
          <m:e>
            <m:r>
              <m:t>Δ</m:t>
            </m:r>
          </m:e>
          <m:sub>
            <m:r>
              <m:t>M</m:t>
            </m:r>
            <m:r>
              <m:t>3</m:t>
            </m:r>
            <m:r>
              <m:t>′</m:t>
            </m:r>
            <m:r>
              <m:t>:</m:t>
            </m:r>
            <m:r>
              <m:t>M</m:t>
            </m:r>
            <m:r>
              <m:t>2</m:t>
            </m:r>
            <m:r>
              <m:t>′</m:t>
            </m:r>
          </m:sub>
        </m:sSub>
      </m:oMath>
      <w:r>
        <w:t xml:space="preserve">) for each realization of the posterior simulation.</w:t>
      </w:r>
    </w:p>
    <w:p>
      <w:pPr>
        <w:pStyle w:val="BodyText"/>
      </w:pPr>
      <w:r>
        <w:t xml:space="preserve">For each received level we calcualted the 2.5th, 50th, and 97.5th quantiles of</w:t>
      </w:r>
      <w:r>
        <w:t xml:space="preserve"> </w:t>
      </w:r>
      <m:oMath>
        <m:sSub>
          <m:e>
            <m:r>
              <m:t>Δ</m:t>
            </m:r>
          </m:e>
          <m:sub>
            <m:r>
              <m:t>M</m:t>
            </m:r>
            <m:r>
              <m:t>3</m:t>
            </m:r>
            <m:r>
              <m:t>′</m:t>
            </m:r>
            <m:r>
              <m:t>:</m:t>
            </m:r>
            <m:r>
              <m:t>M</m:t>
            </m:r>
            <m:r>
              <m:t>1</m:t>
            </m:r>
            <m:r>
              <m:t>′</m:t>
            </m:r>
          </m:sub>
        </m:sSub>
      </m:oMath>
      <w:r>
        <w:t xml:space="preserve"> </w:t>
      </w:r>
      <w:r>
        <w:t xml:space="preserve">and</w:t>
      </w:r>
      <w:r>
        <w:t xml:space="preserve"> </w:t>
      </w:r>
      <m:oMath>
        <m:sSub>
          <m:e>
            <m:r>
              <m:t>Δ</m:t>
            </m:r>
          </m:e>
          <m:sub>
            <m:r>
              <m:t>M</m:t>
            </m:r>
            <m:r>
              <m:t>3</m:t>
            </m:r>
            <m:r>
              <m:t>′</m:t>
            </m:r>
            <m:r>
              <m:t>:</m:t>
            </m:r>
            <m:r>
              <m:t>M</m:t>
            </m:r>
            <m:r>
              <m:t>2</m:t>
            </m:r>
            <m:r>
              <m:t>′</m:t>
            </m:r>
          </m:sub>
        </m:sSub>
      </m:oMath>
      <w:r>
        <w:t xml:space="preserve"> </w:t>
      </w:r>
      <w:r>
        <w:t xml:space="preserve">to create 95% CIs of change in</w:t>
      </w:r>
      <w:r>
        <w:t xml:space="preserve"> </w:t>
      </w:r>
      <m:oMath>
        <m:r>
          <m:rPr>
            <m:sty m:val="p"/>
            <m:scr m:val="double-struck"/>
          </m:rPr>
          <m:t>P</m:t>
        </m:r>
        <m:r>
          <m:t>(</m:t>
        </m:r>
        <m:r>
          <m:rPr>
            <m:sty m:val="p"/>
          </m:rPr>
          <m:t>GVP</m:t>
        </m:r>
        <m:r>
          <m:t>)</m:t>
        </m:r>
      </m:oMath>
      <w:r>
        <w:t xml:space="preserve"> </w:t>
      </w:r>
      <w:r>
        <w:t xml:space="preserve">across possible received levels. We consider that the probability of disturbance is equal to 1 wherever the 95% CI does not include 0, and 0 otherwise.</w:t>
      </w:r>
    </w:p>
    <w:p>
      <w:pPr>
        <w:pStyle w:val="Heading3"/>
      </w:pPr>
      <w:bookmarkStart w:id="35" w:name="implementation"/>
      <w:bookmarkEnd w:id="35"/>
      <w:r>
        <w:t xml:space="preserve">2.3.7 Implementation</w:t>
      </w:r>
    </w:p>
    <w:p>
      <w:pPr>
        <w:pStyle w:val="FirstParagraph"/>
      </w:pPr>
      <w:r>
        <w:t xml:space="preserve">Statistical analyses presented in this manuscript were conducted in R</w:t>
      </w:r>
      <w:r>
        <w:t xml:space="preserve"> </w:t>
      </w:r>
      <w:r>
        <w:t xml:space="preserve">(v. 3.5.2; R Core Team, 2018)</w:t>
      </w:r>
      <w:r>
        <w:t xml:space="preserve">. Data import and manipulation was accomplished using the packages</w:t>
      </w:r>
      <w:r>
        <w:t xml:space="preserve"> </w:t>
      </w:r>
      <w:r>
        <w:t xml:space="preserve"> </w:t>
      </w:r>
      <w:r>
        <w:t xml:space="preserve">(Wickham, François, Henry, and Müller, 2020)</w:t>
      </w:r>
      <w:r>
        <w:t xml:space="preserve">,</w:t>
      </w:r>
      <w:r>
        <w:t xml:space="preserve"> </w:t>
      </w:r>
      <w:r>
        <w:t xml:space="preserve"> </w:t>
      </w:r>
      <w:r>
        <w:t xml:space="preserve">(Grolemund and Wickham, 2011)</w:t>
      </w:r>
      <w:r>
        <w:t xml:space="preserve">,</w:t>
      </w:r>
      <w:r>
        <w:t xml:space="preserve"> </w:t>
      </w:r>
      <w:r>
        <w:t xml:space="preserve"> </w:t>
      </w:r>
      <w:r>
        <w:t xml:space="preserve">(Wickham, Hester, and Francois, 2018)</w:t>
      </w:r>
      <w:r>
        <w:t xml:space="preserve">,</w:t>
      </w:r>
      <w:r>
        <w:t xml:space="preserve"> </w:t>
      </w:r>
      <w:r>
        <w:t xml:space="preserve"> </w:t>
      </w:r>
      <w:r>
        <w:t xml:space="preserve">(Wickham and Bryan, 2019)</w:t>
      </w:r>
      <w:r>
        <w:t xml:space="preserve">, and</w:t>
      </w:r>
      <w:r>
        <w:t xml:space="preserve"> </w:t>
      </w:r>
      <w:r>
        <w:t xml:space="preserve"> </w:t>
      </w:r>
      <w:r>
        <w:t xml:space="preserve">(Wickham and Henry, 2020)</w:t>
      </w:r>
      <w:r>
        <w:t xml:space="preserve">. Map creation was facilitated by the</w:t>
      </w:r>
      <w:r>
        <w:t xml:space="preserve"> </w:t>
      </w:r>
      <w:r>
        <w:t xml:space="preserve"> </w:t>
      </w:r>
      <w:r>
        <w:t xml:space="preserve">(Douglas Nychka, Reinhard Furrer, John Paige, and Stephan Sain, 2017)</w:t>
      </w:r>
      <w:r>
        <w:t xml:space="preserve">,</w:t>
      </w:r>
      <w:r>
        <w:t xml:space="preserve"> </w:t>
      </w:r>
      <w:r>
        <w:t xml:space="preserve">,</w:t>
      </w:r>
      <w:r>
        <w:t xml:space="preserve"> </w:t>
      </w:r>
      <w:r>
        <w:t xml:space="preserve">,</w:t>
      </w:r>
      <w:r>
        <w:t xml:space="preserve"> </w:t>
      </w:r>
      <w:r>
        <w:t xml:space="preserve">,</w:t>
      </w:r>
      <w:r>
        <w:t xml:space="preserve"> </w:t>
      </w:r>
      <w:r>
        <w:t xml:space="preserve">, and</w:t>
      </w:r>
      <w:r>
        <w:t xml:space="preserve"> </w:t>
      </w:r>
      <w:r>
        <w:t xml:space="preserve"> </w:t>
      </w:r>
      <w:r>
        <w:t xml:space="preserve">packages. All graphics were produced using</w:t>
      </w:r>
      <w:r>
        <w:t xml:space="preserve"> </w:t>
      </w:r>
      <w:r>
        <w:t xml:space="preserve">, with color palettes from the</w:t>
      </w:r>
      <w:r>
        <w:t xml:space="preserve"> </w:t>
      </w:r>
      <w:r>
        <w:t xml:space="preserve"> </w:t>
      </w:r>
      <w:r>
        <w:t xml:space="preserve">and</w:t>
      </w:r>
      <w:r>
        <w:t xml:space="preserve"> </w:t>
      </w:r>
      <w:r>
        <w:t xml:space="preserve"> </w:t>
      </w:r>
      <w:r>
        <w:t xml:space="preserve">packages. The manuscript was written in</w:t>
      </w:r>
      <w:r>
        <w:t xml:space="preserve"> </w:t>
      </w:r>
      <w:r>
        <w:t xml:space="preserve"> </w:t>
      </w:r>
      <w:r>
        <w:t xml:space="preserve">(Xie, Allaire, and Grolemund, 2018)</w:t>
      </w:r>
      <w:r>
        <w:t xml:space="preserve">.</w:t>
      </w:r>
    </w:p>
    <w:p>
      <w:pPr>
        <w:pStyle w:val="Heading1"/>
      </w:pPr>
      <w:bookmarkStart w:id="36" w:name="results"/>
      <w:bookmarkEnd w:id="36"/>
      <w:r>
        <w:t xml:space="preserve">3 Results</w:t>
      </w:r>
    </w:p>
    <w:p>
      <w:pPr>
        <w:pStyle w:val="Heading2"/>
      </w:pPr>
      <w:bookmarkStart w:id="37" w:name="results-of-data-collection-and-processing"/>
      <w:bookmarkEnd w:id="37"/>
      <w:r>
        <w:t xml:space="preserve">3.1 Results of Data Collection and Processing</w:t>
      </w:r>
    </w:p>
    <w:p>
      <w:pPr>
        <w:pStyle w:val="FirstParagraph"/>
      </w:pPr>
      <w:r>
        <w:t xml:space="preserve">Data were collected before and during six SCCs; two each in in 2013, 2014, and 2017 (Table 1). The number of hydrophones for which recordings were available varied from 49 to 61. A total of 190928 30-min observations were made.</w:t>
      </w:r>
    </w:p>
    <w:p>
      <w:pPr>
        <w:pStyle w:val="TableCaption"/>
      </w:pPr>
      <w:r>
        <w:t xml:space="preserve">No. of hydrophones used and number of observations made (no. 30-min periods) for each SCC before the exercise began, when Naval activity was present, and when Naval activity and MFA sonar were present.</w:t>
      </w:r>
    </w:p>
    <w:tbl>
      <w:tblPr>
        <w:tblStyle w:val="TableNormal"/>
        <w:tblW w:type="pct" w:w="0.0"/>
        <w:tblLook w:firstRow="1"/>
        <w:tblCaption w:val="No. of hydrophones used and number of observations made (no. 30-min periods) for each SCC before the exercise began, when Naval activity was present, and when Naval activity and MFA sonar were present."/>
      </w:tblPr>
      <w:tblGrid/>
      <w:tr>
        <w:trPr>
          <w:cnfStyle w:firstRow="1"/>
        </w:trPr>
        <w:tc>
          <w:tcPr>
            <w:tcBorders>
              <w:bottom w:val="single"/>
            </w:tcBorders>
            <w:vAlign w:val="bottom"/>
          </w:tcPr>
          <w:p>
            <w:pPr>
              <w:pStyle w:val="Compact"/>
              <w:jc w:val="left"/>
            </w:pPr>
            <w:r>
              <w:t xml:space="preserve">SCC</w:t>
            </w:r>
          </w:p>
        </w:tc>
        <w:tc>
          <w:tcPr>
            <w:tcBorders>
              <w:bottom w:val="single"/>
            </w:tcBorders>
            <w:vAlign w:val="bottom"/>
          </w:tcPr>
          <w:p>
            <w:pPr>
              <w:pStyle w:val="Compact"/>
              <w:jc w:val="right"/>
            </w:pPr>
            <w:r>
              <w:t xml:space="preserve">HPs</w:t>
            </w:r>
          </w:p>
        </w:tc>
        <w:tc>
          <w:tcPr>
            <w:tcBorders>
              <w:bottom w:val="single"/>
            </w:tcBorders>
            <w:vAlign w:val="bottom"/>
          </w:tcPr>
          <w:p>
            <w:pPr>
              <w:pStyle w:val="Compact"/>
              <w:jc w:val="right"/>
            </w:pPr>
            <w:r>
              <w:t xml:space="preserve">Pre-Activity</w:t>
            </w:r>
          </w:p>
        </w:tc>
        <w:tc>
          <w:tcPr>
            <w:tcBorders>
              <w:bottom w:val="single"/>
            </w:tcBorders>
            <w:vAlign w:val="bottom"/>
          </w:tcPr>
          <w:p>
            <w:pPr>
              <w:pStyle w:val="Compact"/>
              <w:jc w:val="right"/>
            </w:pPr>
            <w:r>
              <w:t xml:space="preserve">Nav. Activity</w:t>
            </w:r>
          </w:p>
        </w:tc>
        <w:tc>
          <w:tcPr>
            <w:tcBorders>
              <w:bottom w:val="single"/>
            </w:tcBorders>
            <w:vAlign w:val="bottom"/>
          </w:tcPr>
          <w:p>
            <w:pPr>
              <w:pStyle w:val="Compact"/>
              <w:jc w:val="right"/>
            </w:pPr>
            <w:r>
              <w:t xml:space="preserve">MFA Sonar</w:t>
            </w:r>
          </w:p>
        </w:tc>
      </w:tr>
      <w:tr>
        <w:tc>
          <w:p>
            <w:pPr>
              <w:pStyle w:val="Compact"/>
              <w:jc w:val="left"/>
            </w:pPr>
            <w:r>
              <w:t xml:space="preserve">Feb13</w:t>
            </w:r>
          </w:p>
        </w:tc>
        <w:tc>
          <w:p>
            <w:pPr>
              <w:pStyle w:val="Compact"/>
              <w:jc w:val="right"/>
            </w:pPr>
            <w:r>
              <w:t xml:space="preserve">61</w:t>
            </w:r>
          </w:p>
        </w:tc>
        <w:tc>
          <w:p>
            <w:pPr>
              <w:pStyle w:val="Compact"/>
              <w:jc w:val="right"/>
            </w:pPr>
            <w:r>
              <w:t xml:space="preserve">114</w:t>
            </w:r>
          </w:p>
        </w:tc>
        <w:tc>
          <w:p>
            <w:pPr>
              <w:pStyle w:val="Compact"/>
              <w:jc w:val="right"/>
            </w:pPr>
            <w:r>
              <w:t xml:space="preserve">193</w:t>
            </w:r>
          </w:p>
        </w:tc>
        <w:tc>
          <w:p>
            <w:pPr>
              <w:pStyle w:val="Compact"/>
              <w:jc w:val="right"/>
            </w:pPr>
            <w:r>
              <w:t xml:space="preserve">124</w:t>
            </w:r>
          </w:p>
        </w:tc>
      </w:tr>
      <w:tr>
        <w:tc>
          <w:p>
            <w:pPr>
              <w:pStyle w:val="Compact"/>
              <w:jc w:val="left"/>
            </w:pPr>
            <w:r>
              <w:t xml:space="preserve">Aug13</w:t>
            </w:r>
          </w:p>
        </w:tc>
        <w:tc>
          <w:p>
            <w:pPr>
              <w:pStyle w:val="Compact"/>
              <w:jc w:val="right"/>
            </w:pPr>
            <w:r>
              <w:t xml:space="preserve">61</w:t>
            </w:r>
          </w:p>
        </w:tc>
        <w:tc>
          <w:p>
            <w:pPr>
              <w:pStyle w:val="Compact"/>
              <w:jc w:val="right"/>
            </w:pPr>
            <w:r>
              <w:t xml:space="preserve">209</w:t>
            </w:r>
          </w:p>
        </w:tc>
        <w:tc>
          <w:p>
            <w:pPr>
              <w:pStyle w:val="Compact"/>
              <w:jc w:val="right"/>
            </w:pPr>
            <w:r>
              <w:t xml:space="preserve">115</w:t>
            </w:r>
          </w:p>
        </w:tc>
        <w:tc>
          <w:p>
            <w:pPr>
              <w:pStyle w:val="Compact"/>
              <w:jc w:val="right"/>
            </w:pPr>
            <w:r>
              <w:t xml:space="preserve">97</w:t>
            </w:r>
          </w:p>
        </w:tc>
      </w:tr>
      <w:tr>
        <w:tc>
          <w:p>
            <w:pPr>
              <w:pStyle w:val="Compact"/>
              <w:jc w:val="left"/>
            </w:pPr>
            <w:r>
              <w:t xml:space="preserve">Feb14</w:t>
            </w:r>
          </w:p>
        </w:tc>
        <w:tc>
          <w:p>
            <w:pPr>
              <w:pStyle w:val="Compact"/>
              <w:jc w:val="right"/>
            </w:pPr>
            <w:r>
              <w:t xml:space="preserve">60</w:t>
            </w:r>
          </w:p>
        </w:tc>
        <w:tc>
          <w:p>
            <w:pPr>
              <w:pStyle w:val="Compact"/>
              <w:jc w:val="right"/>
            </w:pPr>
            <w:r>
              <w:t xml:space="preserve">513</w:t>
            </w:r>
          </w:p>
        </w:tc>
        <w:tc>
          <w:p>
            <w:pPr>
              <w:pStyle w:val="Compact"/>
              <w:jc w:val="right"/>
            </w:pPr>
            <w:r>
              <w:t xml:space="preserve">111</w:t>
            </w:r>
          </w:p>
        </w:tc>
        <w:tc>
          <w:p>
            <w:pPr>
              <w:pStyle w:val="Compact"/>
              <w:jc w:val="right"/>
            </w:pPr>
            <w:r>
              <w:t xml:space="preserve">129</w:t>
            </w:r>
          </w:p>
        </w:tc>
      </w:tr>
      <w:tr>
        <w:tc>
          <w:p>
            <w:pPr>
              <w:pStyle w:val="Compact"/>
              <w:jc w:val="left"/>
            </w:pPr>
            <w:r>
              <w:t xml:space="preserve">Aug14</w:t>
            </w:r>
          </w:p>
        </w:tc>
        <w:tc>
          <w:p>
            <w:pPr>
              <w:pStyle w:val="Compact"/>
              <w:jc w:val="right"/>
            </w:pPr>
            <w:r>
              <w:t xml:space="preserve">61</w:t>
            </w:r>
          </w:p>
        </w:tc>
        <w:tc>
          <w:p>
            <w:pPr>
              <w:pStyle w:val="Compact"/>
              <w:jc w:val="right"/>
            </w:pPr>
            <w:r>
              <w:t xml:space="preserve">263</w:t>
            </w:r>
          </w:p>
        </w:tc>
        <w:tc>
          <w:p>
            <w:pPr>
              <w:pStyle w:val="Compact"/>
              <w:jc w:val="right"/>
            </w:pPr>
            <w:r>
              <w:t xml:space="preserve">120</w:t>
            </w:r>
          </w:p>
        </w:tc>
        <w:tc>
          <w:p>
            <w:pPr>
              <w:pStyle w:val="Compact"/>
              <w:jc w:val="right"/>
            </w:pPr>
            <w:r>
              <w:t xml:space="preserve">128</w:t>
            </w:r>
          </w:p>
        </w:tc>
      </w:tr>
      <w:tr>
        <w:tc>
          <w:p>
            <w:pPr>
              <w:pStyle w:val="Compact"/>
              <w:jc w:val="left"/>
            </w:pPr>
            <w:r>
              <w:t xml:space="preserve">Feb17</w:t>
            </w:r>
          </w:p>
        </w:tc>
        <w:tc>
          <w:p>
            <w:pPr>
              <w:pStyle w:val="Compact"/>
              <w:jc w:val="right"/>
            </w:pPr>
            <w:r>
              <w:t xml:space="preserve">59</w:t>
            </w:r>
          </w:p>
        </w:tc>
        <w:tc>
          <w:p>
            <w:pPr>
              <w:pStyle w:val="Compact"/>
              <w:jc w:val="right"/>
            </w:pPr>
            <w:r>
              <w:t xml:space="preserve">450</w:t>
            </w:r>
          </w:p>
        </w:tc>
        <w:tc>
          <w:p>
            <w:pPr>
              <w:pStyle w:val="Compact"/>
              <w:jc w:val="right"/>
            </w:pPr>
            <w:r>
              <w:t xml:space="preserve">97</w:t>
            </w:r>
          </w:p>
        </w:tc>
        <w:tc>
          <w:p>
            <w:pPr>
              <w:pStyle w:val="Compact"/>
              <w:jc w:val="right"/>
            </w:pPr>
            <w:r>
              <w:t xml:space="preserve">108</w:t>
            </w:r>
          </w:p>
        </w:tc>
      </w:tr>
      <w:tr>
        <w:tc>
          <w:p>
            <w:pPr>
              <w:pStyle w:val="Compact"/>
              <w:jc w:val="left"/>
            </w:pPr>
            <w:r>
              <w:t xml:space="preserve">Aug17</w:t>
            </w:r>
          </w:p>
        </w:tc>
        <w:tc>
          <w:p>
            <w:pPr>
              <w:pStyle w:val="Compact"/>
              <w:jc w:val="right"/>
            </w:pPr>
            <w:r>
              <w:t xml:space="preserve">49</w:t>
            </w:r>
          </w:p>
        </w:tc>
        <w:tc>
          <w:p>
            <w:pPr>
              <w:pStyle w:val="Compact"/>
              <w:jc w:val="right"/>
            </w:pPr>
            <w:r>
              <w:t xml:space="preserve">270</w:t>
            </w:r>
          </w:p>
        </w:tc>
        <w:tc>
          <w:p>
            <w:pPr>
              <w:pStyle w:val="Compact"/>
              <w:jc w:val="right"/>
            </w:pPr>
            <w:r>
              <w:t xml:space="preserve">106</w:t>
            </w:r>
          </w:p>
        </w:tc>
        <w:tc>
          <w:p>
            <w:pPr>
              <w:pStyle w:val="Compact"/>
              <w:jc w:val="right"/>
            </w:pPr>
            <w:r>
              <w:t xml:space="preserve">113</w:t>
            </w:r>
          </w:p>
        </w:tc>
      </w:tr>
    </w:tbl>
    <w:p>
      <w:pPr>
        <w:pStyle w:val="BodyText"/>
      </w:pPr>
      <w:r>
        <w:t xml:space="preserve">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pPr>
        <w:pStyle w:val="FigureWithCaption"/>
      </w:pPr>
      <w:r>
        <w:drawing>
          <wp:inline>
            <wp:extent cx="3810000" cy="2540000"/>
            <wp:effectExtent b="0" l="0" r="0" t="0"/>
            <wp:docPr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title="" id="1" name="Picture"/>
            <a:graphic>
              <a:graphicData uri="http://schemas.openxmlformats.org/drawingml/2006/picture">
                <pic:pic>
                  <pic:nvPicPr>
                    <pic:cNvPr descr="../Figures/Timeseries.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pPr>
        <w:pStyle w:val="BodyText"/>
      </w:pPr>
      <w:r>
        <w:t xml:space="preserve">Across all SCCs, hydrophones, and conditions, a total of 2312 GVPs were identified. The average</w:t>
      </w:r>
      <w:r>
        <w:t xml:space="preserve"> </w:t>
      </w:r>
      <m:oMath>
        <m:r>
          <m:rPr>
            <m:sty m:val="p"/>
            <m:scr m:val="double-struck"/>
          </m:rPr>
          <m:t>P</m:t>
        </m:r>
        <m:r>
          <m:t>(</m:t>
        </m:r>
        <m:r>
          <m:rPr>
            <m:sty m:val="p"/>
          </m:rPr>
          <m:t>GVP</m:t>
        </m:r>
        <m:r>
          <m:t>)</m:t>
        </m:r>
      </m:oMath>
      <w:r>
        <w:t xml:space="preserve"> </w:t>
      </w:r>
      <w:r>
        <w:t xml:space="preserve">in the dataset was therefore 1%. The spatial distribution of GVPs differed during the pre-activity phases of SCCs (Fig. SX; top panel).</w:t>
      </w:r>
    </w:p>
    <w:p>
      <w:pPr>
        <w:pStyle w:val="BodyText"/>
      </w:pPr>
      <w:r>
        <w:t xml:space="preserve">Modelled maximum received levels ranged from 38 to 186 dB re. 1</w:t>
      </w:r>
      <w:r>
        <w:t xml:space="preserve"> </w:t>
      </w:r>
      <m:oMath>
        <m:r>
          <m:t>μ</m:t>
        </m:r>
      </m:oMath>
      <w:r>
        <w:t xml:space="preserve"> </w:t>
      </w:r>
      <w:r>
        <w:t xml:space="preserve">Pa, with a median value when MFA sonar was present of 147 dB re. 1</w:t>
      </w:r>
      <w:r>
        <w:t xml:space="preserve"> </w:t>
      </w:r>
      <m:oMath>
        <m:r>
          <m:t>μ</m:t>
        </m:r>
      </m:oMath>
      <w:r>
        <w:t xml:space="preserve"> </w:t>
      </w:r>
      <w:r>
        <w:t xml:space="preserve">Pa. The intensity and spatial distribution of MFA received levels varied across the range and across SCCs (Fig. SX).</w:t>
      </w:r>
    </w:p>
    <w:p>
      <w:pPr>
        <w:pStyle w:val="BodyText"/>
      </w:pPr>
      <w:r>
        <w:t xml:space="preserve">Based on the observed data,</w:t>
      </w:r>
      <w:r>
        <w:t xml:space="preserve"> </w:t>
      </w:r>
      <m:oMath>
        <m:r>
          <m:rPr>
            <m:sty m:val="p"/>
            <m:scr m:val="double-struck"/>
          </m:rPr>
          <m:t>P</m:t>
        </m:r>
        <m:r>
          <m:t>(</m:t>
        </m:r>
        <m:r>
          <m:rPr>
            <m:sty m:val="p"/>
          </m:rPr>
          <m:t>GVP</m:t>
        </m:r>
        <m:r>
          <m:t>)</m:t>
        </m:r>
      </m:oMath>
      <w:r>
        <w:t xml:space="preserve"> </w:t>
      </w:r>
      <w:r>
        <w:t xml:space="preserve">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pPr>
        <w:pStyle w:val="Heading2"/>
      </w:pPr>
      <w:bookmarkStart w:id="39" w:name="results-of-spatial-modelling"/>
      <w:bookmarkEnd w:id="39"/>
      <w:r>
        <w:t xml:space="preserve">3.2 Results of spatial modelling</w:t>
      </w:r>
    </w:p>
    <w:p>
      <w:pPr>
        <w:pStyle w:val="FirstParagraph"/>
      </w:pPr>
      <w:r>
        <w:t xml:space="preserve">We created separate tesselations for each SCC (Fig. SX). In August 2017, data were available from fewer hydrophones, and so in some cases the tesselated tiles, with bounding radius of 6500 m, did not completely cover the range. Hydrophone depths varied from 648 to 4716 m.</w:t>
      </w:r>
    </w:p>
    <w:p>
      <w:pPr>
        <w:pStyle w:val="BodyText"/>
      </w:pPr>
      <w:r>
        <w:t xml:space="preserve"> </w:t>
      </w:r>
      <w:r>
        <w:t xml:space="preserve">fitted a spatial model of</w:t>
      </w:r>
      <w:r>
        <w:t xml:space="preserve"> </w:t>
      </w:r>
      <m:oMath>
        <m:r>
          <m:rPr>
            <m:sty m:val="p"/>
            <m:scr m:val="double-struck"/>
          </m:rPr>
          <m:t>P</m:t>
        </m:r>
        <m:r>
          <m:t>(</m:t>
        </m:r>
        <m:r>
          <m:rPr>
            <m:sty m:val="p"/>
          </m:rPr>
          <m:t>GVP</m:t>
        </m:r>
        <m:r>
          <m:t>)</m:t>
        </m:r>
      </m:oMath>
      <w:r>
        <w:t xml:space="preserve"> </w:t>
      </w:r>
      <w:r>
        <w:t xml:space="preserve">to data collected prior to the onset of Naval training activity. This model used a MRF smooth to account for the spatial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predicted values indicated a good fit to the data (Fig. SX). The model</w:t>
      </w:r>
      <w:r>
        <w:t xml:space="preserve"> </w:t>
      </w:r>
      <w:r>
        <w:t xml:space="preserve"> </w:t>
      </w:r>
      <w:r>
        <w:t xml:space="preserve">predicted highest</w:t>
      </w:r>
      <w:r>
        <w:t xml:space="preserve"> </w:t>
      </w:r>
      <m:oMath>
        <m:r>
          <m:rPr>
            <m:sty m:val="p"/>
            <m:scr m:val="double-struck"/>
          </m:rPr>
          <m:t>P</m:t>
        </m:r>
        <m:r>
          <m:t>(</m:t>
        </m:r>
        <m:r>
          <m:rPr>
            <m:sty m:val="p"/>
          </m:rPr>
          <m:t>GVP</m:t>
        </m:r>
        <m:r>
          <m:t>)</m:t>
        </m:r>
      </m:oMath>
      <w:r>
        <w:t xml:space="preserve"> </w:t>
      </w:r>
      <w:r>
        <w:t xml:space="preserve">at hydrophone depths between 1500 and 2000 m (Fig. SX).</w:t>
      </w:r>
    </w:p>
    <w:p>
      <w:pPr>
        <w:pStyle w:val="BodyText"/>
      </w:pPr>
      <w:r>
        <w:t xml:space="preserve"> </w:t>
      </w:r>
      <w:r>
        <w:t xml:space="preserve">used the predicted values from</w:t>
      </w:r>
      <w:r>
        <w:t xml:space="preserve"> </w:t>
      </w:r>
      <w:r>
        <w:t xml:space="preserve"> </w:t>
      </w:r>
      <w:r>
        <w:t xml:space="preserve">as an offset and fitted a model of to data when Naval activity was ongoing, as indicated by the presence of Naval ships on the range. This model was intercept-only, and</w:t>
      </w:r>
      <w:r>
        <w:t xml:space="preserve"> </w:t>
      </w:r>
      <m:oMath>
        <m:r>
          <m:rPr>
            <m:sty m:val="p"/>
            <m:scr m:val="double-struck"/>
          </m:rPr>
          <m:t>P</m:t>
        </m:r>
        <m:r>
          <m:t>(</m:t>
        </m:r>
        <m:r>
          <m:rPr>
            <m:sty m:val="p"/>
          </m:rPr>
          <m:t>GVP</m:t>
        </m:r>
        <m:r>
          <m:t>)</m:t>
        </m:r>
      </m:oMath>
      <w:r>
        <w:t xml:space="preserve"> </w:t>
      </w:r>
      <w:r>
        <w:t xml:space="preserve">when Naval training was ongoing was significantly different from the baseline period (p-value &lt; 2E-16). The expected</w:t>
      </w:r>
      <w:r>
        <w:t xml:space="preserve"> </w:t>
      </w:r>
      <m:oMath>
        <m:r>
          <m:rPr>
            <m:sty m:val="p"/>
            <m:scr m:val="double-struck"/>
          </m:rPr>
          <m:t>P</m:t>
        </m:r>
        <m:r>
          <m:t>(</m:t>
        </m:r>
        <m:r>
          <m:rPr>
            <m:sty m:val="p"/>
          </m:rPr>
          <m:t>GVP</m:t>
        </m:r>
        <m:r>
          <m:t>)</m:t>
        </m:r>
      </m:oMath>
      <w:r>
        <w:t xml:space="preserve"> </w:t>
      </w:r>
      <w:r>
        <w:t xml:space="preserve">decreased by a median of 64% (95% CI 59% - 68%) when Naval training activity was present compared to when it was absent.</w:t>
      </w:r>
    </w:p>
    <w:p>
      <w:pPr>
        <w:pStyle w:val="BodyText"/>
      </w:pPr>
      <w:r>
        <w:t xml:space="preserve"> </w:t>
      </w:r>
      <w:r>
        <w:t xml:space="preserve">used the predicted values from</w:t>
      </w:r>
      <w:r>
        <w:t xml:space="preserve"> </w:t>
      </w:r>
      <w:r>
        <w:t xml:space="preserve"> </w:t>
      </w:r>
      <w:r>
        <w:t xml:space="preserve">as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pPr>
        <w:pStyle w:val="BodyText"/>
      </w:pPr>
      <w:r>
        <w:t xml:space="preserve">For MFA sonar received levels above 100 dB, change in</w:t>
      </w:r>
      <w:r>
        <w:t xml:space="preserve"> </w:t>
      </w:r>
      <m:oMath>
        <m:r>
          <m:rPr>
            <m:sty m:val="p"/>
            <m:scr m:val="double-struck"/>
          </m:rPr>
          <m:t>P</m:t>
        </m:r>
        <m:r>
          <m:t>(</m:t>
        </m:r>
        <m:r>
          <m:rPr>
            <m:sty m:val="p"/>
          </m:rPr>
          <m:t>GVP</m:t>
        </m:r>
        <m:r>
          <m:t>)</m:t>
        </m:r>
      </m:oMath>
      <w:r>
        <w:t xml:space="preserve"> </w:t>
      </w:r>
      <w:r>
        <w:t xml:space="preserve">was calculated relative to the pre-activity baseline period (</w:t>
      </w:r>
      <m:oMath>
        <m:sSub>
          <m:e>
            <m:r>
              <m:t>Δ</m:t>
            </m:r>
          </m:e>
          <m:sub>
            <m:r>
              <m:t>M</m:t>
            </m:r>
            <m:r>
              <m:t>3</m:t>
            </m:r>
            <m:r>
              <m:t>′</m:t>
            </m:r>
            <m:r>
              <m:t>:</m:t>
            </m:r>
            <m:r>
              <m:t>M</m:t>
            </m:r>
            <m:r>
              <m:t>1</m:t>
            </m:r>
            <m:r>
              <m:t>′</m:t>
            </m:r>
          </m:sub>
        </m:sSub>
      </m:oMath>
      <w:r>
        <w:t xml:space="preserve">) and to the period when Naval activity was present on the range</w:t>
      </w:r>
      <w:r>
        <w:t xml:space="preserve"> </w:t>
      </w:r>
      <w:r>
        <w:t xml:space="preserve">(</w:t>
      </w:r>
      <m:oMath>
        <m:sSub>
          <m:e>
            <m:r>
              <m:t>Δ</m:t>
            </m:r>
          </m:e>
          <m:sub>
            <m:r>
              <m:t>M</m:t>
            </m:r>
            <m:r>
              <m:t>3</m:t>
            </m:r>
            <m:r>
              <m:t>′</m:t>
            </m:r>
            <m:r>
              <m:t>:</m:t>
            </m:r>
            <m:r>
              <m:t>M</m:t>
            </m:r>
            <m:r>
              <m:t>2</m:t>
            </m:r>
            <m:r>
              <m:t>′</m:t>
            </m:r>
          </m:sub>
        </m:sSub>
      </m:oMath>
      <w:r>
        <w:t xml:space="preserve">; Fig. 4 &amp; Fig. 5). At a received level of 150 dB,</w:t>
      </w:r>
      <w:r>
        <w:t xml:space="preserve"> </w:t>
      </w:r>
      <m:oMath>
        <m:sSub>
          <m:e>
            <m:r>
              <m:t>Δ</m:t>
            </m:r>
          </m:e>
          <m:sub>
            <m:r>
              <m:t>M</m:t>
            </m:r>
            <m:r>
              <m:t>3</m:t>
            </m:r>
            <m:r>
              <m:t>′</m:t>
            </m:r>
            <m:r>
              <m:t>:</m:t>
            </m:r>
            <m:r>
              <m:t>M</m:t>
            </m:r>
            <m:r>
              <m:t>1</m:t>
            </m:r>
            <m:r>
              <m:t>′</m:t>
            </m:r>
          </m:sub>
        </m:sSub>
      </m:oMath>
      <w:r>
        <w:t xml:space="preserve"> </w:t>
      </w:r>
      <w:r>
        <w:t xml:space="preserve">was -92% (95% CI -100% - -87%) and</w:t>
      </w:r>
      <w:r>
        <w:t xml:space="preserve"> </w:t>
      </w:r>
      <m:oMath>
        <m:sSub>
          <m:e>
            <m:r>
              <m:t>Δ</m:t>
            </m:r>
          </m:e>
          <m:sub>
            <m:r>
              <m:t>M</m:t>
            </m:r>
            <m:r>
              <m:t>3</m:t>
            </m:r>
            <m:r>
              <m:t>′</m:t>
            </m:r>
            <m:r>
              <m:t>:</m:t>
            </m:r>
            <m:r>
              <m:t>M</m:t>
            </m:r>
            <m:r>
              <m:t>2</m:t>
            </m:r>
            <m:r>
              <m:t>′</m:t>
            </m:r>
          </m:sub>
        </m:sSub>
      </m:oMath>
      <w:r>
        <w:t xml:space="preserve"> </w:t>
      </w:r>
      <w:r>
        <w:t xml:space="preserve">was -78% (95% CI -100% - -62%).</w:t>
      </w:r>
    </w:p>
    <w:p>
      <w:pPr>
        <w:pStyle w:val="FigureWithCaption"/>
      </w:pPr>
      <w:r>
        <w:drawing>
          <wp:inline>
            <wp:extent cx="5334000" cy="6667500"/>
            <wp:effectExtent b="0" l="0" r="0" t="0"/>
            <wp:docPr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title="" id="1" name="Picture"/>
            <a:graphic>
              <a:graphicData uri="http://schemas.openxmlformats.org/drawingml/2006/picture">
                <pic:pic>
                  <pic:nvPicPr>
                    <pic:cNvPr descr="../Figures/AllSCCBootstrappedMedianPDive.png" id="0" name="Picture"/>
                    <pic:cNvPicPr>
                      <a:picLocks noChangeArrowheads="1" noChangeAspect="1"/>
                    </pic:cNvPicPr>
                  </pic:nvPicPr>
                  <pic:blipFill>
                    <a:blip r:embed="rId4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w:t>
      </w:r>
    </w:p>
    <w:p>
      <w:pPr>
        <w:pStyle w:val="FigureWithCaption"/>
      </w:pPr>
      <w:r>
        <w:drawing>
          <wp:inline>
            <wp:extent cx="5334000" cy="5334000"/>
            <wp:effectExtent b="0" l="0" r="0" t="0"/>
            <wp:docPr descr="Median (black line) and 95% CIs (gray shading) expected change in the probability of detecting a group vocal period (y-axis) with increasing MFA sonar received level (x-axis) relative to when Naval training activity but no MFA sonar is present on the range." title="" id="1" name="Picture"/>
            <a:graphic>
              <a:graphicData uri="http://schemas.openxmlformats.org/drawingml/2006/picture">
                <pic:pic>
                  <pic:nvPicPr>
                    <pic:cNvPr descr="../Figures/PMRFDeltaShipsZoom.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Median (black line) and 95% CIs (gray shading) expected change in the probability of detecting a group vocal period (y-axis) with increasing MFA sonar received level (x-axis) relative to when Naval training activity but no MFA sonar is present on the range.</w:t>
      </w:r>
    </w:p>
    <w:p>
      <w:pPr>
        <w:pStyle w:val="FigureWithCaption"/>
      </w:pPr>
      <w:r>
        <w:drawing>
          <wp:inline>
            <wp:extent cx="5334000" cy="5334000"/>
            <wp:effectExtent b="0" l="0" r="0" t="0"/>
            <wp:docPr descr="Median (black line) and 95% CIs (gray shading) expected change in the probability of detecting a group vocal period (y-axis) with increasing MFA sonar received level (x-axis) relative to when neither Naval training activity nor MFA sonar is present on the range." title="" id="1" name="Picture"/>
            <a:graphic>
              <a:graphicData uri="http://schemas.openxmlformats.org/drawingml/2006/picture">
                <pic:pic>
                  <pic:nvPicPr>
                    <pic:cNvPr descr="../Figures/PMRFDeltaBaseline.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Median (black line) and 95% CIs (gray shading) expected change in the probability of detecting a group vocal period (y-axis) with increasing MFA sonar received level (x-axis) relative to when neither Naval training activity nor MFA sonar is present on the range.</w:t>
      </w:r>
    </w:p>
    <w:p>
      <w:pPr>
        <w:pStyle w:val="Heading1"/>
      </w:pPr>
      <w:bookmarkStart w:id="43" w:name="discussion"/>
      <w:bookmarkEnd w:id="43"/>
      <w:r>
        <w:t xml:space="preserve">4 Discussion</w:t>
      </w:r>
    </w:p>
    <w:p>
      <w:pPr>
        <w:numPr>
          <w:numId w:val="1001"/>
          <w:ilvl w:val="0"/>
        </w:numPr>
      </w:pPr>
      <w:r>
        <w:t xml:space="preserve">Describe why we didn’t use a single giant GAM – didn’t want contamination of the baseline period by the spatial distribution of sonar, would lead to underestimates of the impact of sonar. Could present the single giant GAM in an appendix.</w:t>
      </w:r>
    </w:p>
    <w:p>
      <w:pPr>
        <w:numPr>
          <w:numId w:val="1001"/>
          <w:ilvl w:val="0"/>
        </w:numPr>
      </w:pPr>
      <w:r>
        <w:t xml:space="preserve">Data from PMRF are from an undesigned experiment, where the spatial intensity of the treatments (noise from ship presence and sonar) were not applied randomly with respect to either the study area or beaked whale presence.</w:t>
      </w:r>
    </w:p>
    <w:p>
      <w:pPr>
        <w:numPr>
          <w:numId w:val="1001"/>
          <w:ilvl w:val="0"/>
        </w:numPr>
      </w:pPr>
      <w:r>
        <w:t xml:space="preserve">Emphasize novelty – more sophisticated method</w:t>
      </w:r>
    </w:p>
    <w:p>
      <w:pPr>
        <w:numPr>
          <w:numId w:val="1001"/>
          <w:ilvl w:val="0"/>
        </w:numPr>
      </w:pPr>
      <w:r>
        <w:t xml:space="preserve">Discuss unusual timeline of Feb13</w:t>
      </w:r>
    </w:p>
    <w:p>
      <w:pPr>
        <w:numPr>
          <w:numId w:val="1001"/>
          <w:ilvl w:val="0"/>
        </w:numPr>
      </w:pPr>
      <w:r>
        <w:t xml:space="preserve">Discuss what</w:t>
      </w:r>
      <w:r>
        <w:t xml:space="preserve"> </w:t>
      </w:r>
      <w:r>
        <w:t xml:space="preserve">“</w:t>
      </w:r>
      <w:r>
        <w:t xml:space="preserve">Naval activity</w:t>
      </w:r>
      <w:r>
        <w:t xml:space="preserve">”</w:t>
      </w:r>
      <w:r>
        <w:t xml:space="preserve"> </w:t>
      </w:r>
      <w:r>
        <w:t xml:space="preserve">could mean</w:t>
      </w:r>
    </w:p>
    <w:p>
      <w:pPr>
        <w:numPr>
          <w:numId w:val="1001"/>
          <w:ilvl w:val="0"/>
        </w:numPr>
      </w:pPr>
      <w:r>
        <w:t xml:space="preserve">GVPs appear to decrease over the course of MFA sonar; this is something we could investigate with a spatio-temporal model in teh future (hour since onset of MFA? SEL?)</w:t>
      </w:r>
    </w:p>
    <w:p>
      <w:pPr>
        <w:numPr>
          <w:numId w:val="1001"/>
          <w:ilvl w:val="0"/>
        </w:numPr>
      </w:pPr>
      <w:r>
        <w:t xml:space="preserve">Discuss dose-response and p(disturbance) in context of</w:t>
      </w:r>
      <w:r>
        <w:t xml:space="preserve"> </w:t>
      </w:r>
      <w:r>
        <w:t xml:space="preserve">(Tyack and Thomas, 2019)</w:t>
      </w:r>
    </w:p>
    <w:p>
      <w:pPr>
        <w:numPr>
          <w:numId w:val="1001"/>
          <w:ilvl w:val="0"/>
        </w:numPr>
      </w:pPr>
      <w:r>
        <w:t xml:space="preserve">Compare results to Moretti et al 2014; in particular the fact that their</w:t>
      </w:r>
      <w:r>
        <w:t xml:space="preserve"> </w:t>
      </w:r>
      <w:r>
        <w:t xml:space="preserve">“</w:t>
      </w:r>
      <w:r>
        <w:t xml:space="preserve">before</w:t>
      </w:r>
      <w:r>
        <w:t xml:space="preserve">”</w:t>
      </w:r>
      <w:r>
        <w:t xml:space="preserve"> </w:t>
      </w:r>
      <w:r>
        <w:t xml:space="preserve">was likely actually similar to our</w:t>
      </w:r>
      <w:r>
        <w:t xml:space="preserve"> </w:t>
      </w:r>
      <w:r>
        <w:t xml:space="preserve">“</w:t>
      </w:r>
      <w:r>
        <w:t xml:space="preserve">training without sonar</w:t>
      </w:r>
      <w:r>
        <w:t xml:space="preserve">”</w:t>
      </w:r>
      <w:r>
        <w:t xml:space="preserve">period as it was only 19 hours of data before the onset of sonar and it was the same training scenario as an SCC at PMRF. Therefore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characterisitic. Also can mention here the same effort at SCORE with Cuvier’s – in light of these results we expect similar results there even though different species but similar habitat to AUTEC.</w:t>
      </w:r>
    </w:p>
    <w:p>
      <w:pPr>
        <w:pStyle w:val="Heading1"/>
      </w:pPr>
      <w:bookmarkStart w:id="44" w:name="references"/>
      <w:bookmarkEnd w:id="44"/>
      <w:r>
        <w:t xml:space="preserve">References</w:t>
      </w:r>
    </w:p>
    <w:p>
      <w:pPr>
        <w:pStyle w:val="FirstParagraph"/>
      </w:pPr>
      <w:r>
        <w:t xml:space="preserve"> </w:t>
      </w:r>
      <w:r>
        <w:t xml:space="preserve"> </w:t>
      </w:r>
      <w:r>
        <w:t xml:space="preserve"> </w:t>
      </w:r>
    </w:p>
    <w:p>
      <w:pPr>
        <w:pStyle w:val="BodyText"/>
      </w:pPr>
      <w:r>
        <w:t xml:space="preserve">Aguilar de Soto, N., Madsen, P. T., Tyack, P., Arranz, P., Marrero, J., Fais, A., … Johnson, M. (2012). No shallow talk: Cryptic strategy in the vocal communication of Blainville’s beaked whales.</w:t>
      </w:r>
      <w:r>
        <w:t xml:space="preserve"> </w:t>
      </w:r>
      <w:r>
        <w:rPr>
          <w:i/>
        </w:rPr>
        <w:t xml:space="preserve">Marine Mammal Science</w:t>
      </w:r>
      <w:r>
        <w:t xml:space="preserve">,</w:t>
      </w:r>
      <w:r>
        <w:t xml:space="preserve"> </w:t>
      </w:r>
      <w:r>
        <w:rPr>
          <w:i/>
        </w:rPr>
        <w:t xml:space="preserve">28</w:t>
      </w:r>
      <w:r>
        <w:t xml:space="preserve">(2), E75–E92.</w:t>
      </w:r>
      <w:r>
        <w:t xml:space="preserve"> </w:t>
      </w:r>
      <w:hyperlink r:id="rId45">
        <w:r>
          <w:rPr>
            <w:rStyle w:val="Hyperlink"/>
          </w:rPr>
          <w:t xml:space="preserve">https://doi.org/10.1111/j.1748-7692.2011.00495.x</w:t>
        </w:r>
      </w:hyperlink>
    </w:p>
    <w:p>
      <w:pPr>
        <w:pStyle w:val="BodyText"/>
      </w:pPr>
      <w:r>
        <w:t xml:space="preserve">Aguilar Soto, N., Johnson, M., Madsen, P. T., Tyack, P. L., Bocconcelli, A., &amp; Fabrizio Borsani, J. (2006). Does intense ship noise disrupt foraging in deep-diving Cuvier’s beaked whales (Ziphius cavirostris)?</w:t>
      </w:r>
      <w:r>
        <w:t xml:space="preserve"> </w:t>
      </w:r>
      <w:r>
        <w:rPr>
          <w:i/>
        </w:rPr>
        <w:t xml:space="preserve">Marine Mammal Science</w:t>
      </w:r>
      <w:r>
        <w:t xml:space="preserve">,</w:t>
      </w:r>
      <w:r>
        <w:t xml:space="preserve"> </w:t>
      </w:r>
      <w:r>
        <w:rPr>
          <w:i/>
        </w:rPr>
        <w:t xml:space="preserve">22</w:t>
      </w:r>
      <w:r>
        <w:t xml:space="preserve">(3), 690–699.</w:t>
      </w:r>
      <w:r>
        <w:t xml:space="preserve"> </w:t>
      </w:r>
      <w:hyperlink r:id="rId46">
        <w:r>
          <w:rPr>
            <w:rStyle w:val="Hyperlink"/>
          </w:rPr>
          <w:t xml:space="preserve">https://doi.org/10.1111/j.1748-7692.2006.00044.x</w:t>
        </w:r>
      </w:hyperlink>
    </w:p>
    <w:p>
      <w:pPr>
        <w:pStyle w:val="BodyText"/>
      </w:pPr>
      <w:r>
        <w:t xml:space="preserve">Cox, T., Ragen, T., Read, A., Vos, E., Baird, R., Balcomb, K., … others. (2006). Understanding the impacts of anthropogenic sound on beaked whales1.</w:t>
      </w:r>
      <w:r>
        <w:t xml:space="preserve"> </w:t>
      </w:r>
      <w:r>
        <w:rPr>
          <w:i/>
        </w:rPr>
        <w:t xml:space="preserve">J. CETACEAN RES. MANAGE</w:t>
      </w:r>
      <w:r>
        <w:t xml:space="preserve">,</w:t>
      </w:r>
      <w:r>
        <w:t xml:space="preserve"> </w:t>
      </w:r>
      <w:r>
        <w:rPr>
          <w:i/>
        </w:rPr>
        <w:t xml:space="preserve">7</w:t>
      </w:r>
      <w:r>
        <w:t xml:space="preserve">(3), 177–187.</w:t>
      </w:r>
    </w:p>
    <w:p>
      <w:pPr>
        <w:pStyle w:val="BodyText"/>
      </w:pPr>
      <w:r>
        <w:t xml:space="preserve">Douglas Nychka, Reinhard Furrer, John Paige, &amp; Stephan Sain. (2017).</w:t>
      </w:r>
      <w:r>
        <w:t xml:space="preserve"> </w:t>
      </w:r>
      <w:r>
        <w:rPr>
          <w:i/>
        </w:rPr>
        <w:t xml:space="preserve">Fields: Tools for spatial data</w:t>
      </w:r>
      <w:r>
        <w:t xml:space="preserve">.</w:t>
      </w:r>
      <w:r>
        <w:t xml:space="preserve"> </w:t>
      </w:r>
      <w:hyperlink r:id="rId47">
        <w:r>
          <w:rPr>
            <w:rStyle w:val="Hyperlink"/>
          </w:rPr>
          <w:t xml:space="preserve">https://doi.org/10.5065/D6W957CT</w:t>
        </w:r>
      </w:hyperlink>
    </w:p>
    <w:p>
      <w:pPr>
        <w:pStyle w:val="BodyText"/>
      </w:pPr>
      <w:r>
        <w:t xml:space="preserve">Falcone, E. A., Schorr, G. S., Watwood, S. L., DeRuiter, S. L., Zerbini, A. N., Andrews, R. D., … Moretti, D. J. (2017). Diving behaviour of Cuvier’s beaked whales exposed to two types of military sonar.</w:t>
      </w:r>
      <w:r>
        <w:t xml:space="preserve"> </w:t>
      </w:r>
      <w:r>
        <w:rPr>
          <w:i/>
        </w:rPr>
        <w:t xml:space="preserve">Royal Society Open Science</w:t>
      </w:r>
      <w:r>
        <w:t xml:space="preserve">,</w:t>
      </w:r>
      <w:r>
        <w:t xml:space="preserve"> </w:t>
      </w:r>
      <w:r>
        <w:rPr>
          <w:i/>
        </w:rPr>
        <w:t xml:space="preserve">4</w:t>
      </w:r>
      <w:r>
        <w:t xml:space="preserve">(8), 170629.</w:t>
      </w:r>
      <w:r>
        <w:t xml:space="preserve"> </w:t>
      </w:r>
      <w:hyperlink r:id="rId48">
        <w:r>
          <w:rPr>
            <w:rStyle w:val="Hyperlink"/>
          </w:rPr>
          <w:t xml:space="preserve">https://doi.org/10.1098/rsos.170629</w:t>
        </w:r>
      </w:hyperlink>
    </w:p>
    <w:p>
      <w:pPr>
        <w:pStyle w:val="BodyText"/>
      </w:pPr>
      <w:r>
        <w:t xml:space="preserve">Grolemund, G., &amp; Wickham, H. (2011). Dates and times made easy with &lt;span class=“nocase”&gt;lubridate&lt;/span&gt;.</w:t>
      </w:r>
      <w:r>
        <w:t xml:space="preserve"> </w:t>
      </w:r>
      <w:r>
        <w:rPr>
          <w:i/>
        </w:rPr>
        <w:t xml:space="preserve">Journal of Statistical Software</w:t>
      </w:r>
      <w:r>
        <w:t xml:space="preserve">,</w:t>
      </w:r>
      <w:r>
        <w:t xml:space="preserve"> </w:t>
      </w:r>
      <w:r>
        <w:rPr>
          <w:i/>
        </w:rPr>
        <w:t xml:space="preserve">40</w:t>
      </w:r>
      <w:r>
        <w:t xml:space="preserve">(3), 1–25. Retrieved from</w:t>
      </w:r>
      <w:r>
        <w:t xml:space="preserve"> </w:t>
      </w:r>
      <w:hyperlink r:id="rId49">
        <w:r>
          <w:rPr>
            <w:rStyle w:val="Hyperlink"/>
          </w:rPr>
          <w:t xml:space="preserve">http://www.jstatsoft.org/v40/i03/</w:t>
        </w:r>
      </w:hyperlink>
    </w:p>
    <w:p>
      <w:pPr>
        <w:pStyle w:val="BodyText"/>
      </w:pPr>
      <w:r>
        <w:t xml:space="preserve">Harris, C. M., Martin, S. W., Martin, C., Helble, T. A., Henderson, E. E., Paxton, C. G. M., &amp; Thomas, L. (2019). Changes in the Spatial Distribution of Acoustically Derived Minke Whale (Balaenoptera acutorostrata) Tracks in Response to Navy Training.</w:t>
      </w:r>
      <w:r>
        <w:t xml:space="preserve"> </w:t>
      </w:r>
      <w:r>
        <w:rPr>
          <w:i/>
        </w:rPr>
        <w:t xml:space="preserve">Aquatic Mammals</w:t>
      </w:r>
      <w:r>
        <w:t xml:space="preserve">,</w:t>
      </w:r>
      <w:r>
        <w:t xml:space="preserve"> </w:t>
      </w:r>
      <w:r>
        <w:rPr>
          <w:i/>
        </w:rPr>
        <w:t xml:space="preserve">45</w:t>
      </w:r>
      <w:r>
        <w:t xml:space="preserve">(6), 661–674.</w:t>
      </w:r>
      <w:r>
        <w:t xml:space="preserve"> </w:t>
      </w:r>
      <w:hyperlink r:id="rId50">
        <w:r>
          <w:rPr>
            <w:rStyle w:val="Hyperlink"/>
          </w:rPr>
          <w:t xml:space="preserve">https://doi.org/10.1578/AM.45.6.2019.661</w:t>
        </w:r>
      </w:hyperlink>
    </w:p>
    <w:p>
      <w:pPr>
        <w:pStyle w:val="BodyText"/>
      </w:pPr>
      <w:r>
        <w:t xml:space="preserve">Henderson, E. E., Martin, S. W., Manzano-Roth, R., &amp; Matsuyama, B. M. (2016). Occurrence and Habitat Use of Foraging Blainville’s Beaked Whales (Mesoplodon densirostris) on a U.S. Navy Range in Hawaii.</w:t>
      </w:r>
      <w:r>
        <w:t xml:space="preserve"> </w:t>
      </w:r>
      <w:r>
        <w:rPr>
          <w:i/>
        </w:rPr>
        <w:t xml:space="preserve">Aquatic Mammals</w:t>
      </w:r>
      <w:r>
        <w:t xml:space="preserve">,</w:t>
      </w:r>
      <w:r>
        <w:t xml:space="preserve"> </w:t>
      </w:r>
      <w:r>
        <w:rPr>
          <w:i/>
        </w:rPr>
        <w:t xml:space="preserve">42</w:t>
      </w:r>
      <w:r>
        <w:t xml:space="preserve">(4), 549–562.</w:t>
      </w:r>
      <w:r>
        <w:t xml:space="preserve"> </w:t>
      </w:r>
      <w:hyperlink r:id="rId51">
        <w:r>
          <w:rPr>
            <w:rStyle w:val="Hyperlink"/>
          </w:rPr>
          <w:t xml:space="preserve">https://doi.org/10.1578/AM.42.4.2016.549</w:t>
        </w:r>
      </w:hyperlink>
    </w:p>
    <w:p>
      <w:pPr>
        <w:pStyle w:val="BodyText"/>
      </w:pPr>
      <w:r>
        <w:t xml:space="preserve">Jepson, P. D., Arbelo, M., Deaville, R., Patterson, I. A. P., Castro, P., Baker, J. R., … Fernández, A. (2003). Gas-bubble lesions in stranded cetaceans.</w:t>
      </w:r>
      <w:r>
        <w:t xml:space="preserve"> </w:t>
      </w:r>
      <w:r>
        <w:rPr>
          <w:i/>
        </w:rPr>
        <w:t xml:space="preserve">Nature</w:t>
      </w:r>
      <w:r>
        <w:t xml:space="preserve">,</w:t>
      </w:r>
      <w:r>
        <w:t xml:space="preserve"> </w:t>
      </w:r>
      <w:r>
        <w:rPr>
          <w:i/>
        </w:rPr>
        <w:t xml:space="preserve">425</w:t>
      </w:r>
      <w:r>
        <w:t xml:space="preserve">(6958), 575–576.</w:t>
      </w:r>
      <w:r>
        <w:t xml:space="preserve"> </w:t>
      </w:r>
      <w:hyperlink r:id="rId52">
        <w:r>
          <w:rPr>
            <w:rStyle w:val="Hyperlink"/>
          </w:rPr>
          <w:t xml:space="preserve">https://doi.org/10.1038/425575a</w:t>
        </w:r>
      </w:hyperlink>
    </w:p>
    <w:p>
      <w:pPr>
        <w:pStyle w:val="BodyText"/>
      </w:pPr>
      <w:r>
        <w:t xml:space="preserve">Johnson, M., Madsen, P. T., Zimmer, W. M. X., Aguilar de Soto, N., &amp; Tyack, P. L. (2004). Beaked whales echolocate on prey.</w:t>
      </w:r>
      <w:r>
        <w:t xml:space="preserve"> </w:t>
      </w:r>
      <w:r>
        <w:rPr>
          <w:i/>
        </w:rPr>
        <w:t xml:space="preserve">Proceedings of the Royal Society of London. Series B: Biological Sciences</w:t>
      </w:r>
      <w:r>
        <w:t xml:space="preserve">,</w:t>
      </w:r>
      <w:r>
        <w:t xml:space="preserve"> </w:t>
      </w:r>
      <w:r>
        <w:rPr>
          <w:i/>
        </w:rPr>
        <w:t xml:space="preserve">271</w:t>
      </w:r>
      <w:r>
        <w:t xml:space="preserve">(suppl_6).</w:t>
      </w:r>
      <w:r>
        <w:t xml:space="preserve"> </w:t>
      </w:r>
      <w:hyperlink r:id="rId53">
        <w:r>
          <w:rPr>
            <w:rStyle w:val="Hyperlink"/>
          </w:rPr>
          <w:t xml:space="preserve">https://doi.org/10.1098/rsbl.2004.0208</w:t>
        </w:r>
      </w:hyperlink>
    </w:p>
    <w:p>
      <w:pPr>
        <w:pStyle w:val="BodyText"/>
      </w:pPr>
      <w:r>
        <w:t xml:space="preserve">Joyce, T. W., Durban, J. W., Claridge, D. E., Dunn, C. A., Hickmott, L. S., Fearnbach, H., … Moretti, D. (2019). Behavioral responses of satellite tracked Blainville’s beaked whales (</w:t>
      </w:r>
      <w:r>
        <w:t xml:space="preserve"> </w:t>
      </w:r>
      <w:r>
        <w:rPr>
          <w:i/>
        </w:rPr>
        <w:t xml:space="preserve">Mesoplodon densirostris</w:t>
      </w:r>
      <w:r>
        <w:t xml:space="preserve"> </w:t>
      </w:r>
      <w:r>
        <w:t xml:space="preserve">) to mid‐frequency active sonar.</w:t>
      </w:r>
      <w:r>
        <w:t xml:space="preserve"> </w:t>
      </w:r>
      <w:r>
        <w:rPr>
          <w:i/>
        </w:rPr>
        <w:t xml:space="preserve">Marine Mammal Science</w:t>
      </w:r>
      <w:r>
        <w:t xml:space="preserve">, mms.12624.</w:t>
      </w:r>
      <w:r>
        <w:t xml:space="preserve"> </w:t>
      </w:r>
      <w:hyperlink r:id="rId54">
        <w:r>
          <w:rPr>
            <w:rStyle w:val="Hyperlink"/>
          </w:rPr>
          <w:t xml:space="preserve">https://doi.org/10.1111/mms.12624</w:t>
        </w:r>
      </w:hyperlink>
    </w:p>
    <w:p>
      <w:pPr>
        <w:pStyle w:val="BodyText"/>
      </w:pPr>
      <w:r>
        <w:t xml:space="preserve">Macleod, C. D., &amp; D’Amico, A. (2006).</w:t>
      </w:r>
      <w:r>
        <w:t xml:space="preserve"> </w:t>
      </w:r>
      <w:r>
        <w:rPr>
          <w:i/>
        </w:rPr>
        <w:t xml:space="preserve">A review of beaked whale behaviour and ecology in relation to assessing and mitigating impacts of anthropogenic noise</w:t>
      </w:r>
      <w:r>
        <w:t xml:space="preserve">. 11.</w:t>
      </w:r>
    </w:p>
    <w:p>
      <w:pPr>
        <w:pStyle w:val="BodyText"/>
      </w:pPr>
      <w:r>
        <w:t xml:space="preserve">Manzano-Roth, R., Henderson, E. E., Martin, S. W., Martin, C., &amp; Matsuyama, B. (2016). Impacts of U.S. Navy Training Events on Blainville’s Beaked Whale (Mesoplodon densirostris) Foraging Dives in Hawaiian Waters.</w:t>
      </w:r>
      <w:r>
        <w:t xml:space="preserve"> </w:t>
      </w:r>
      <w:r>
        <w:rPr>
          <w:i/>
        </w:rPr>
        <w:t xml:space="preserve">Aquatic Mammals</w:t>
      </w:r>
      <w:r>
        <w:t xml:space="preserve">,</w:t>
      </w:r>
      <w:r>
        <w:t xml:space="preserve"> </w:t>
      </w:r>
      <w:r>
        <w:rPr>
          <w:i/>
        </w:rPr>
        <w:t xml:space="preserve">42</w:t>
      </w:r>
      <w:r>
        <w:t xml:space="preserve">(4), 507–518.</w:t>
      </w:r>
      <w:r>
        <w:t xml:space="preserve"> </w:t>
      </w:r>
      <w:hyperlink r:id="rId55">
        <w:r>
          <w:rPr>
            <w:rStyle w:val="Hyperlink"/>
          </w:rPr>
          <w:t xml:space="preserve">https://doi.org/10.1578/AM.42.4.2016.507</w:t>
        </w:r>
      </w:hyperlink>
    </w:p>
    <w:p>
      <w:pPr>
        <w:pStyle w:val="BodyText"/>
      </w:pPr>
      <w:r>
        <w:t xml:space="preserve">Marques, T. A., Thomas, L., Ward, J., DiMarzio, N., &amp; Tyack, P. L. (2009). Estimating cetacean population density using fixed passive acoustic sensors: An example with Blainville’s beaked whales.</w:t>
      </w:r>
      <w:r>
        <w:t xml:space="preserve"> </w:t>
      </w:r>
      <w:r>
        <w:rPr>
          <w:i/>
        </w:rPr>
        <w:t xml:space="preserve">The Journal of the Acoustical Society of America</w:t>
      </w:r>
      <w:r>
        <w:t xml:space="preserve">,</w:t>
      </w:r>
      <w:r>
        <w:t xml:space="preserve"> </w:t>
      </w:r>
      <w:r>
        <w:rPr>
          <w:i/>
        </w:rPr>
        <w:t xml:space="preserve">125</w:t>
      </w:r>
      <w:r>
        <w:t xml:space="preserve">(4), 1982–1994.</w:t>
      </w:r>
      <w:r>
        <w:t xml:space="preserve"> </w:t>
      </w:r>
      <w:hyperlink r:id="rId56">
        <w:r>
          <w:rPr>
            <w:rStyle w:val="Hyperlink"/>
          </w:rPr>
          <w:t xml:space="preserve">https://doi.org/10.1121/1.3089590</w:t>
        </w:r>
      </w:hyperlink>
    </w:p>
    <w:p>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w:t>
      </w:r>
      <w:r>
        <w:t xml:space="preserve"> </w:t>
      </w:r>
      <w:r>
        <w:rPr>
          <w:i/>
        </w:rPr>
        <w:t xml:space="preserve">Marine Mammal Science</w:t>
      </w:r>
      <w:r>
        <w:t xml:space="preserve">,</w:t>
      </w:r>
      <w:r>
        <w:t xml:space="preserve"> </w:t>
      </w:r>
      <w:r>
        <w:rPr>
          <w:i/>
        </w:rPr>
        <w:t xml:space="preserve">27</w:t>
      </w:r>
      <w:r>
        <w:t xml:space="preserve">(3), E206–E226.</w:t>
      </w:r>
      <w:r>
        <w:t xml:space="preserve"> </w:t>
      </w:r>
      <w:hyperlink r:id="rId57">
        <w:r>
          <w:rPr>
            <w:rStyle w:val="Hyperlink"/>
          </w:rPr>
          <w:t xml:space="preserve">https://doi.org/10.1111/j.1748-7692.2010.00457.x</w:t>
        </w:r>
      </w:hyperlink>
    </w:p>
    <w:p>
      <w:pPr>
        <w:pStyle w:val="BodyText"/>
      </w:pPr>
      <w:r>
        <w:t xml:space="preserve">Moretti, D., Thomas, L., Marques, T., Harwood, J., Dilley, A., Neales, B., … Morrissey, R. (2014). A Risk Function for Behavioral Disruption of Blainville’s Beaked Whales (Mesoplodon densirostris) from Mid-Frequency Active Sonar.</w:t>
      </w:r>
      <w:r>
        <w:t xml:space="preserve"> </w:t>
      </w:r>
      <w:r>
        <w:rPr>
          <w:i/>
        </w:rPr>
        <w:t xml:space="preserve">PLoS ONE</w:t>
      </w:r>
      <w:r>
        <w:t xml:space="preserve">,</w:t>
      </w:r>
      <w:r>
        <w:t xml:space="preserve"> </w:t>
      </w:r>
      <w:r>
        <w:rPr>
          <w:i/>
        </w:rPr>
        <w:t xml:space="preserve">9</w:t>
      </w:r>
      <w:r>
        <w:t xml:space="preserve">(1), e85064.</w:t>
      </w:r>
      <w:r>
        <w:t xml:space="preserve"> </w:t>
      </w:r>
      <w:hyperlink r:id="rId58">
        <w:r>
          <w:rPr>
            <w:rStyle w:val="Hyperlink"/>
          </w:rPr>
          <w:t xml:space="preserve">https://doi.org/10.1371/journal.pone.0085064</w:t>
        </w:r>
      </w:hyperlink>
    </w:p>
    <w:p>
      <w:pPr>
        <w:pStyle w:val="BodyText"/>
      </w:pPr>
      <w:r>
        <w:t xml:space="preserve">Navy, U. D. of the. (2018).</w:t>
      </w:r>
      <w:r>
        <w:t xml:space="preserve"> </w:t>
      </w:r>
      <w:r>
        <w:rPr>
          <w:i/>
        </w:rPr>
        <w:t xml:space="preserve">Final Environmental Impact Statement/Overseas Environmental Impact Statement Hawaii-Southern California Training and Testing</w:t>
      </w:r>
      <w:r>
        <w:t xml:space="preserve">. Retrieved from</w:t>
      </w:r>
      <w:r>
        <w:t xml:space="preserve"> </w:t>
      </w:r>
      <w:hyperlink r:id="rId59">
        <w:r>
          <w:rPr>
            <w:rStyle w:val="Hyperlink"/>
          </w:rPr>
          <w:t xml:space="preserve">https://www.hstteis.com/portals/hstteis/files/hstteis_p3/feis/section/HSTT_FEIS_3.07_Marine_Mammals_October_2018.pdf</w:t>
        </w:r>
      </w:hyperlink>
    </w:p>
    <w:p>
      <w:pPr>
        <w:pStyle w:val="BodyText"/>
      </w:pPr>
      <w:r>
        <w:t xml:space="preserve">New, L. F., Moretti, D. J., Hooker, S. K., Costa, D. P., &amp; Simmons, S. E. (2013). Using Energetic Models to Investigate the Survival and Reproduction of Beaked Whales (family Ziphiidae).</w:t>
      </w:r>
      <w:r>
        <w:t xml:space="preserve"> </w:t>
      </w:r>
      <w:r>
        <w:rPr>
          <w:i/>
        </w:rPr>
        <w:t xml:space="preserve">PLoS ONE</w:t>
      </w:r>
      <w:r>
        <w:t xml:space="preserve">,</w:t>
      </w:r>
      <w:r>
        <w:t xml:space="preserve"> </w:t>
      </w:r>
      <w:r>
        <w:rPr>
          <w:i/>
        </w:rPr>
        <w:t xml:space="preserve">8</w:t>
      </w:r>
      <w:r>
        <w:t xml:space="preserve">(7), e68725.</w:t>
      </w:r>
      <w:r>
        <w:t xml:space="preserve"> </w:t>
      </w:r>
      <w:hyperlink r:id="rId60">
        <w:r>
          <w:rPr>
            <w:rStyle w:val="Hyperlink"/>
          </w:rPr>
          <w:t xml:space="preserve">https://doi.org/10.1371/journal.pone.0068725</w:t>
        </w:r>
      </w:hyperlink>
    </w:p>
    <w:p>
      <w:pPr>
        <w:pStyle w:val="BodyText"/>
      </w:pPr>
      <w:r>
        <w:t xml:space="preserve">Pirotta, E., Milor, R., Quick, N., Moretti, D., Di Marzio, N., Tyack, P., … Hastie, G. (2012). Vessel Noise Affects Beaked Whale Behavior: Results of a Dedicated Acoustic Response Study.</w:t>
      </w:r>
      <w:r>
        <w:t xml:space="preserve"> </w:t>
      </w:r>
      <w:r>
        <w:rPr>
          <w:i/>
        </w:rPr>
        <w:t xml:space="preserve">PLoS ONE</w:t>
      </w:r>
      <w:r>
        <w:t xml:space="preserve">,</w:t>
      </w:r>
      <w:r>
        <w:t xml:space="preserve"> </w:t>
      </w:r>
      <w:r>
        <w:rPr>
          <w:i/>
        </w:rPr>
        <w:t xml:space="preserve">7</w:t>
      </w:r>
      <w:r>
        <w:t xml:space="preserve">(8), e42535.</w:t>
      </w:r>
      <w:r>
        <w:t xml:space="preserve"> </w:t>
      </w:r>
      <w:hyperlink r:id="rId61">
        <w:r>
          <w:rPr>
            <w:rStyle w:val="Hyperlink"/>
          </w:rPr>
          <w:t xml:space="preserve">https://doi.org/10.1371/journal.pone.0042535</w:t>
        </w:r>
      </w:hyperlink>
    </w:p>
    <w:p>
      <w:pPr>
        <w:pStyle w:val="BodyText"/>
      </w:pPr>
      <w:r>
        <w:t xml:space="preserve">Pya, N., &amp; Wood, S. N. (2015). Shape constrained additive models.</w:t>
      </w:r>
      <w:r>
        <w:t xml:space="preserve"> </w:t>
      </w:r>
      <w:r>
        <w:rPr>
          <w:i/>
        </w:rPr>
        <w:t xml:space="preserve">Statistics and Computing</w:t>
      </w:r>
      <w:r>
        <w:t xml:space="preserve">,</w:t>
      </w:r>
      <w:r>
        <w:t xml:space="preserve"> </w:t>
      </w:r>
      <w:r>
        <w:rPr>
          <w:i/>
        </w:rPr>
        <w:t xml:space="preserve">25</w:t>
      </w:r>
      <w:r>
        <w:t xml:space="preserve">(3), 543–559.</w:t>
      </w:r>
      <w:r>
        <w:t xml:space="preserve"> </w:t>
      </w:r>
      <w:hyperlink r:id="rId62">
        <w:r>
          <w:rPr>
            <w:rStyle w:val="Hyperlink"/>
          </w:rPr>
          <w:t xml:space="preserve">https://doi.org/10.1007/s11222-013-9448-7</w:t>
        </w:r>
      </w:hyperlink>
    </w:p>
    <w:p>
      <w:pPr>
        <w:pStyle w:val="BodyText"/>
      </w:pPr>
      <w:r>
        <w:t xml:space="preserve">R Core Team. (2018).</w:t>
      </w:r>
      <w:r>
        <w:t xml:space="preserve"> </w:t>
      </w:r>
      <w:r>
        <w:rPr>
          <w:i/>
        </w:rPr>
        <w:t xml:space="preserve">R: A Language and Environment for Statistical Computing</w:t>
      </w:r>
      <w:r>
        <w:t xml:space="preserve">. Retrieved from</w:t>
      </w:r>
      <w:r>
        <w:t xml:space="preserve"> </w:t>
      </w:r>
      <w:hyperlink r:id="rId63">
        <w:r>
          <w:rPr>
            <w:rStyle w:val="Hyperlink"/>
          </w:rPr>
          <w:t xml:space="preserve">https://www.R-project.org/</w:t>
        </w:r>
      </w:hyperlink>
    </w:p>
    <w:p>
      <w:pPr>
        <w:pStyle w:val="BodyText"/>
      </w:pPr>
      <w:r>
        <w:t xml:space="preserve">Rue, H., &amp; Held, L. (2005).</w:t>
      </w:r>
      <w:r>
        <w:t xml:space="preserve"> </w:t>
      </w:r>
      <w:r>
        <w:rPr>
          <w:i/>
        </w:rPr>
        <w:t xml:space="preserve">Gaussian Markov Random Fields: Theory and Applications</w:t>
      </w:r>
      <w:r>
        <w:t xml:space="preserve">. London: Chapman &amp; Hall.</w:t>
      </w:r>
    </w:p>
    <w:p>
      <w:pPr>
        <w:pStyle w:val="BodyText"/>
      </w:pPr>
      <w:r>
        <w:t xml:space="preserve">Turner, R. (2019).</w:t>
      </w:r>
      <w:r>
        <w:t xml:space="preserve"> </w:t>
      </w:r>
      <w:r>
        <w:rPr>
          <w:i/>
        </w:rPr>
        <w:t xml:space="preserve">Deldir: Delaunay Triangulation and Dirichlet (Voronoi) Tessellation</w:t>
      </w:r>
      <w:r>
        <w:t xml:space="preserve">. Retrieved from</w:t>
      </w:r>
      <w:r>
        <w:t xml:space="preserve"> </w:t>
      </w:r>
      <w:hyperlink r:id="rId64">
        <w:r>
          <w:rPr>
            <w:rStyle w:val="Hyperlink"/>
          </w:rPr>
          <w:t xml:space="preserve">https://CRAN.R-project.org/package=deldir</w:t>
        </w:r>
      </w:hyperlink>
    </w:p>
    <w:p>
      <w:pPr>
        <w:pStyle w:val="BodyText"/>
      </w:pPr>
      <w:r>
        <w:t xml:space="preserve">Tyack, P. L., &amp; Thomas, L. (2019). Using dose–response functions to improve calculations of the impact of anthropogenic noise.</w:t>
      </w:r>
      <w:r>
        <w:t xml:space="preserve"> </w:t>
      </w:r>
      <w:r>
        <w:rPr>
          <w:i/>
        </w:rPr>
        <w:t xml:space="preserve">Aquatic Conservation: Marine and Freshwater Ecosystems</w:t>
      </w:r>
      <w:r>
        <w:t xml:space="preserve">,</w:t>
      </w:r>
      <w:r>
        <w:t xml:space="preserve"> </w:t>
      </w:r>
      <w:r>
        <w:rPr>
          <w:i/>
        </w:rPr>
        <w:t xml:space="preserve">29</w:t>
      </w:r>
      <w:r>
        <w:t xml:space="preserve">(S1), 242–253.</w:t>
      </w:r>
      <w:r>
        <w:t xml:space="preserve"> </w:t>
      </w:r>
      <w:hyperlink r:id="rId65">
        <w:r>
          <w:rPr>
            <w:rStyle w:val="Hyperlink"/>
          </w:rPr>
          <w:t xml:space="preserve">https://doi.org/10.1002/aqc.3149</w:t>
        </w:r>
      </w:hyperlink>
    </w:p>
    <w:p>
      <w:pPr>
        <w:pStyle w:val="BodyText"/>
      </w:pPr>
      <w:r>
        <w:t xml:space="preserve">Tyack, P. L., Zimmer, W. M. X., Moretti, D., Southall, B. L., Claridge, D. E., Durban, J. W., … Boyd, I. L. (2011). Beaked Whales Respond to Simulated and Actual Navy Sonar.</w:t>
      </w:r>
      <w:r>
        <w:t xml:space="preserve"> </w:t>
      </w:r>
      <w:r>
        <w:rPr>
          <w:i/>
        </w:rPr>
        <w:t xml:space="preserve">PLoS ONE</w:t>
      </w:r>
      <w:r>
        <w:t xml:space="preserve">,</w:t>
      </w:r>
      <w:r>
        <w:t xml:space="preserve"> </w:t>
      </w:r>
      <w:r>
        <w:rPr>
          <w:i/>
        </w:rPr>
        <w:t xml:space="preserve">6</w:t>
      </w:r>
      <w:r>
        <w:t xml:space="preserve">(3), e17009.</w:t>
      </w:r>
      <w:r>
        <w:t xml:space="preserve"> </w:t>
      </w:r>
      <w:hyperlink r:id="rId66">
        <w:r>
          <w:rPr>
            <w:rStyle w:val="Hyperlink"/>
          </w:rPr>
          <w:t xml:space="preserve">https://doi.org/10.1371/journal.pone.0017009</w:t>
        </w:r>
      </w:hyperlink>
    </w:p>
    <w:p>
      <w:pPr>
        <w:pStyle w:val="BodyText"/>
      </w:pPr>
      <w:r>
        <w:t xml:space="preserve">Wickham, H., &amp; Bryan, J. (2019).</w:t>
      </w:r>
      <w:r>
        <w:t xml:space="preserve"> </w:t>
      </w:r>
      <w:r>
        <w:rPr>
          <w:i/>
        </w:rPr>
        <w:t xml:space="preserve">Readxl: Read excel files</w:t>
      </w:r>
      <w:r>
        <w:t xml:space="preserve">. Retrieved from</w:t>
      </w:r>
      <w:r>
        <w:t xml:space="preserve"> </w:t>
      </w:r>
      <w:hyperlink r:id="rId67">
        <w:r>
          <w:rPr>
            <w:rStyle w:val="Hyperlink"/>
          </w:rPr>
          <w:t xml:space="preserve">https://CRAN.R-project.org/package=readxl</w:t>
        </w:r>
      </w:hyperlink>
    </w:p>
    <w:p>
      <w:pPr>
        <w:pStyle w:val="BodyText"/>
      </w:pPr>
      <w:r>
        <w:t xml:space="preserve">Wickham, H., &amp; Henry, L. (2020).</w:t>
      </w:r>
      <w:r>
        <w:t xml:space="preserve"> </w:t>
      </w:r>
      <w:r>
        <w:rPr>
          <w:i/>
        </w:rPr>
        <w:t xml:space="preserve">Tidyr: Tidy messy data</w:t>
      </w:r>
      <w:r>
        <w:t xml:space="preserve">. Retrieved from</w:t>
      </w:r>
      <w:r>
        <w:t xml:space="preserve"> </w:t>
      </w:r>
      <w:hyperlink r:id="rId68">
        <w:r>
          <w:rPr>
            <w:rStyle w:val="Hyperlink"/>
          </w:rPr>
          <w:t xml:space="preserve">https://CRAN.R-project.org/package=tidyr</w:t>
        </w:r>
      </w:hyperlink>
    </w:p>
    <w:p>
      <w:pPr>
        <w:pStyle w:val="BodyText"/>
      </w:pPr>
      <w:r>
        <w:t xml:space="preserve">Wickham, H., François, R., Henry, L., &amp; Müller, K. (2020).</w:t>
      </w:r>
      <w:r>
        <w:t xml:space="preserve"> </w:t>
      </w:r>
      <w:r>
        <w:rPr>
          <w:i/>
        </w:rPr>
        <w:t xml:space="preserve">Dplyr: A grammar of data manipulation</w:t>
      </w:r>
      <w:r>
        <w:t xml:space="preserve">. Retrieved from</w:t>
      </w:r>
      <w:r>
        <w:t xml:space="preserve"> </w:t>
      </w:r>
      <w:hyperlink r:id="rId69">
        <w:r>
          <w:rPr>
            <w:rStyle w:val="Hyperlink"/>
          </w:rPr>
          <w:t xml:space="preserve">https://CRAN.R-project.org/package=dplyr</w:t>
        </w:r>
      </w:hyperlink>
    </w:p>
    <w:p>
      <w:pPr>
        <w:pStyle w:val="BodyText"/>
      </w:pPr>
      <w:r>
        <w:t xml:space="preserve">Wickham, H., Hester, J., &amp; Francois, R. (2018).</w:t>
      </w:r>
      <w:r>
        <w:t xml:space="preserve"> </w:t>
      </w:r>
      <w:r>
        <w:rPr>
          <w:i/>
        </w:rPr>
        <w:t xml:space="preserve">Readr: Read rectangular text data</w:t>
      </w:r>
      <w:r>
        <w:t xml:space="preserve">. Retrieved from</w:t>
      </w:r>
      <w:r>
        <w:t xml:space="preserve"> </w:t>
      </w:r>
      <w:hyperlink r:id="rId70">
        <w:r>
          <w:rPr>
            <w:rStyle w:val="Hyperlink"/>
          </w:rPr>
          <w:t xml:space="preserve">https://CRAN.R-project.org/package=readr</w:t>
        </w:r>
      </w:hyperlink>
    </w:p>
    <w:p>
      <w:pPr>
        <w:pStyle w:val="BodyText"/>
      </w:pPr>
      <w:r>
        <w:t xml:space="preserve">Wood, S. N. (2003). Thin plate regression splines.</w:t>
      </w:r>
      <w:r>
        <w:t xml:space="preserve"> </w:t>
      </w:r>
      <w:r>
        <w:rPr>
          <w:i/>
        </w:rPr>
        <w:t xml:space="preserve">Journal of the Royal Statistical Society: Series B (Statistical Methodology)</w:t>
      </w:r>
      <w:r>
        <w:t xml:space="preserve">,</w:t>
      </w:r>
      <w:r>
        <w:t xml:space="preserve"> </w:t>
      </w:r>
      <w:r>
        <w:rPr>
          <w:i/>
        </w:rPr>
        <w:t xml:space="preserve">65</w:t>
      </w:r>
      <w:r>
        <w:t xml:space="preserve">(1), 95–114.</w:t>
      </w:r>
      <w:r>
        <w:t xml:space="preserve"> </w:t>
      </w:r>
      <w:hyperlink r:id="rId71">
        <w:r>
          <w:rPr>
            <w:rStyle w:val="Hyperlink"/>
          </w:rPr>
          <w:t xml:space="preserve">https://doi.org/10.1111/1467-9868.00374</w:t>
        </w:r>
      </w:hyperlink>
    </w:p>
    <w:p>
      <w:pPr>
        <w:pStyle w:val="BodyText"/>
      </w:pPr>
      <w:r>
        <w:t xml:space="preserve">Wood, S. N. (2008). Fast stable direct fitting and smoothness selection for generalized additive models.</w:t>
      </w:r>
      <w:r>
        <w:t xml:space="preserve"> </w:t>
      </w:r>
      <w:r>
        <w:rPr>
          <w:i/>
        </w:rPr>
        <w:t xml:space="preserve">Journal of the Royal Statistical Society: Series B (Statistical Methodology)</w:t>
      </w:r>
      <w:r>
        <w:t xml:space="preserve">,</w:t>
      </w:r>
      <w:r>
        <w:t xml:space="preserve"> </w:t>
      </w:r>
      <w:r>
        <w:rPr>
          <w:i/>
        </w:rPr>
        <w:t xml:space="preserve">70</w:t>
      </w:r>
      <w:r>
        <w:t xml:space="preserve">(3), 495–518.</w:t>
      </w:r>
    </w:p>
    <w:p>
      <w:pPr>
        <w:pStyle w:val="BodyText"/>
      </w:pPr>
      <w:r>
        <w:t xml:space="preserve">Wood, S. N. (2017).</w:t>
      </w:r>
      <w:r>
        <w:t xml:space="preserve"> </w:t>
      </w:r>
      <w:r>
        <w:rPr>
          <w:i/>
        </w:rPr>
        <w:t xml:space="preserve">Generalized Additive Models: An Introduction with R</w:t>
      </w:r>
      <w:r>
        <w:t xml:space="preserve"> </w:t>
      </w:r>
      <w:r>
        <w:t xml:space="preserve">(2nd ed.). Chapman; Hall/CRC.</w:t>
      </w:r>
    </w:p>
    <w:p>
      <w:pPr>
        <w:pStyle w:val="BodyText"/>
      </w:pPr>
      <w:r>
        <w:t xml:space="preserve">Wood, S. N., Li, Z., Shaddick, G., &amp; Augustin, N. H. (2017). Generalized Additive Models for Gigadata: Modeling the U.K. Black Smoke Network Daily Data.</w:t>
      </w:r>
      <w:r>
        <w:t xml:space="preserve"> </w:t>
      </w:r>
      <w:r>
        <w:rPr>
          <w:i/>
        </w:rPr>
        <w:t xml:space="preserve">Journal of the American Statistical Association</w:t>
      </w:r>
      <w:r>
        <w:t xml:space="preserve">,</w:t>
      </w:r>
      <w:r>
        <w:t xml:space="preserve"> </w:t>
      </w:r>
      <w:r>
        <w:rPr>
          <w:i/>
        </w:rPr>
        <w:t xml:space="preserve">112</w:t>
      </w:r>
      <w:r>
        <w:t xml:space="preserve">(519), 1199–1210.</w:t>
      </w:r>
      <w:r>
        <w:t xml:space="preserve"> </w:t>
      </w:r>
      <w:hyperlink r:id="rId72">
        <w:r>
          <w:rPr>
            <w:rStyle w:val="Hyperlink"/>
          </w:rPr>
          <w:t xml:space="preserve">https://doi.org/10.1080/01621459.2016.1195744</w:t>
        </w:r>
      </w:hyperlink>
    </w:p>
    <w:p>
      <w:pPr>
        <w:pStyle w:val="BodyText"/>
      </w:pPr>
      <w:r>
        <w:t xml:space="preserve">Xie, Y., Allaire, J., &amp; Grolemund, G. (2018).</w:t>
      </w:r>
      <w:r>
        <w:t xml:space="preserve"> </w:t>
      </w:r>
      <w:r>
        <w:rPr>
          <w:i/>
        </w:rPr>
        <w:t xml:space="preserve">R markdown: The definitive guide</w:t>
      </w:r>
      <w:r>
        <w:t xml:space="preserve">. Retrieved from</w:t>
      </w:r>
      <w:r>
        <w:t xml:space="preserve"> </w:t>
      </w:r>
      <w:hyperlink r:id="rId73">
        <w:r>
          <w:rPr>
            <w:rStyle w:val="Hyperlink"/>
          </w:rPr>
          <w:t xml:space="preserve">https://bookdown.org/yihui/rmarkdown</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b7e15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f6097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8" Target="media/rId38.pdf" /><Relationship Type="http://schemas.openxmlformats.org/officeDocument/2006/relationships/hyperlink" Id="rId49" Target="http://www.jstatsoft.org/v40/i03/" TargetMode="External" /><Relationship Type="http://schemas.openxmlformats.org/officeDocument/2006/relationships/hyperlink" Id="rId64" Target="https://CRAN.R-project.org/package=deldir" TargetMode="External" /><Relationship Type="http://schemas.openxmlformats.org/officeDocument/2006/relationships/hyperlink" Id="rId69" Target="https://CRAN.R-project.org/package=dplyr" TargetMode="External" /><Relationship Type="http://schemas.openxmlformats.org/officeDocument/2006/relationships/hyperlink" Id="rId70" Target="https://CRAN.R-project.org/package=readr" TargetMode="External" /><Relationship Type="http://schemas.openxmlformats.org/officeDocument/2006/relationships/hyperlink" Id="rId67" Target="https://CRAN.R-project.org/package=readxl" TargetMode="External" /><Relationship Type="http://schemas.openxmlformats.org/officeDocument/2006/relationships/hyperlink" Id="rId68" Target="https://CRAN.R-project.org/package=tidyr" TargetMode="External" /><Relationship Type="http://schemas.openxmlformats.org/officeDocument/2006/relationships/hyperlink" Id="rId73" Target="https://bookdown.org/yihui/rmarkdown" TargetMode="External" /><Relationship Type="http://schemas.openxmlformats.org/officeDocument/2006/relationships/hyperlink" Id="rId65" Target="https://doi.org/10.1002/aqc.3149" TargetMode="External" /><Relationship Type="http://schemas.openxmlformats.org/officeDocument/2006/relationships/hyperlink" Id="rId62" Target="https://doi.org/10.1007/s11222-013-9448-7" TargetMode="External" /><Relationship Type="http://schemas.openxmlformats.org/officeDocument/2006/relationships/hyperlink" Id="rId52" Target="https://doi.org/10.1038/425575a" TargetMode="External" /><Relationship Type="http://schemas.openxmlformats.org/officeDocument/2006/relationships/hyperlink" Id="rId72" Target="https://doi.org/10.1080/01621459.2016.1195744" TargetMode="External" /><Relationship Type="http://schemas.openxmlformats.org/officeDocument/2006/relationships/hyperlink" Id="rId53" Target="https://doi.org/10.1098/rsbl.2004.0208" TargetMode="External" /><Relationship Type="http://schemas.openxmlformats.org/officeDocument/2006/relationships/hyperlink" Id="rId48" Target="https://doi.org/10.1098/rsos.170629" TargetMode="External" /><Relationship Type="http://schemas.openxmlformats.org/officeDocument/2006/relationships/hyperlink" Id="rId71" Target="https://doi.org/10.1111/1467-9868.00374" TargetMode="External" /><Relationship Type="http://schemas.openxmlformats.org/officeDocument/2006/relationships/hyperlink" Id="rId46" Target="https://doi.org/10.1111/j.1748-7692.2006.00044.x" TargetMode="External" /><Relationship Type="http://schemas.openxmlformats.org/officeDocument/2006/relationships/hyperlink" Id="rId57" Target="https://doi.org/10.1111/j.1748-7692.2010.00457.x" TargetMode="External" /><Relationship Type="http://schemas.openxmlformats.org/officeDocument/2006/relationships/hyperlink" Id="rId45" Target="https://doi.org/10.1111/j.1748-7692.2011.00495.x" TargetMode="External" /><Relationship Type="http://schemas.openxmlformats.org/officeDocument/2006/relationships/hyperlink" Id="rId54" Target="https://doi.org/10.1111/mms.12624" TargetMode="External" /><Relationship Type="http://schemas.openxmlformats.org/officeDocument/2006/relationships/hyperlink" Id="rId56" Target="https://doi.org/10.1121/1.3089590" TargetMode="External" /><Relationship Type="http://schemas.openxmlformats.org/officeDocument/2006/relationships/hyperlink" Id="rId66" Target="https://doi.org/10.1371/journal.pone.0017009" TargetMode="External" /><Relationship Type="http://schemas.openxmlformats.org/officeDocument/2006/relationships/hyperlink" Id="rId61" Target="https://doi.org/10.1371/journal.pone.0042535" TargetMode="External" /><Relationship Type="http://schemas.openxmlformats.org/officeDocument/2006/relationships/hyperlink" Id="rId60" Target="https://doi.org/10.1371/journal.pone.0068725" TargetMode="External" /><Relationship Type="http://schemas.openxmlformats.org/officeDocument/2006/relationships/hyperlink" Id="rId58" Target="https://doi.org/10.1371/journal.pone.0085064" TargetMode="External" /><Relationship Type="http://schemas.openxmlformats.org/officeDocument/2006/relationships/hyperlink" Id="rId55" Target="https://doi.org/10.1578/AM.42.4.2016.507" TargetMode="External" /><Relationship Type="http://schemas.openxmlformats.org/officeDocument/2006/relationships/hyperlink" Id="rId51" Target="https://doi.org/10.1578/AM.42.4.2016.549" TargetMode="External" /><Relationship Type="http://schemas.openxmlformats.org/officeDocument/2006/relationships/hyperlink" Id="rId50" Target="https://doi.org/10.1578/AM.45.6.2019.661" TargetMode="External" /><Relationship Type="http://schemas.openxmlformats.org/officeDocument/2006/relationships/hyperlink" Id="rId47" Target="https://doi.org/10.5065/D6W957CT" TargetMode="External" /><Relationship Type="http://schemas.openxmlformats.org/officeDocument/2006/relationships/hyperlink" Id="rId63" Target="https://www.R-project.org/" TargetMode="External" /><Relationship Type="http://schemas.openxmlformats.org/officeDocument/2006/relationships/hyperlink" Id="rId59" Target="https://www.hstteis.com/portals/hstteis/files/hstteis_p3/feis/section/HSTT_FEIS_3.07_Marine_Mammals_October_2018.pdf" TargetMode="External" /></Relationships>
</file>

<file path=word/_rels/footnotes.xml.rels><?xml version="1.0" encoding="UTF-8"?>
<Relationships xmlns="http://schemas.openxmlformats.org/package/2006/relationships"><Relationship Type="http://schemas.openxmlformats.org/officeDocument/2006/relationships/hyperlink" Id="rId49" Target="http://www.jstatsoft.org/v40/i03/" TargetMode="External" /><Relationship Type="http://schemas.openxmlformats.org/officeDocument/2006/relationships/hyperlink" Id="rId64" Target="https://CRAN.R-project.org/package=deldir" TargetMode="External" /><Relationship Type="http://schemas.openxmlformats.org/officeDocument/2006/relationships/hyperlink" Id="rId69" Target="https://CRAN.R-project.org/package=dplyr" TargetMode="External" /><Relationship Type="http://schemas.openxmlformats.org/officeDocument/2006/relationships/hyperlink" Id="rId70" Target="https://CRAN.R-project.org/package=readr" TargetMode="External" /><Relationship Type="http://schemas.openxmlformats.org/officeDocument/2006/relationships/hyperlink" Id="rId67" Target="https://CRAN.R-project.org/package=readxl" TargetMode="External" /><Relationship Type="http://schemas.openxmlformats.org/officeDocument/2006/relationships/hyperlink" Id="rId68" Target="https://CRAN.R-project.org/package=tidyr" TargetMode="External" /><Relationship Type="http://schemas.openxmlformats.org/officeDocument/2006/relationships/hyperlink" Id="rId73" Target="https://bookdown.org/yihui/rmarkdown" TargetMode="External" /><Relationship Type="http://schemas.openxmlformats.org/officeDocument/2006/relationships/hyperlink" Id="rId65" Target="https://doi.org/10.1002/aqc.3149" TargetMode="External" /><Relationship Type="http://schemas.openxmlformats.org/officeDocument/2006/relationships/hyperlink" Id="rId62" Target="https://doi.org/10.1007/s11222-013-9448-7" TargetMode="External" /><Relationship Type="http://schemas.openxmlformats.org/officeDocument/2006/relationships/hyperlink" Id="rId52" Target="https://doi.org/10.1038/425575a" TargetMode="External" /><Relationship Type="http://schemas.openxmlformats.org/officeDocument/2006/relationships/hyperlink" Id="rId72" Target="https://doi.org/10.1080/01621459.2016.1195744" TargetMode="External" /><Relationship Type="http://schemas.openxmlformats.org/officeDocument/2006/relationships/hyperlink" Id="rId53" Target="https://doi.org/10.1098/rsbl.2004.0208" TargetMode="External" /><Relationship Type="http://schemas.openxmlformats.org/officeDocument/2006/relationships/hyperlink" Id="rId48" Target="https://doi.org/10.1098/rsos.170629" TargetMode="External" /><Relationship Type="http://schemas.openxmlformats.org/officeDocument/2006/relationships/hyperlink" Id="rId71" Target="https://doi.org/10.1111/1467-9868.00374" TargetMode="External" /><Relationship Type="http://schemas.openxmlformats.org/officeDocument/2006/relationships/hyperlink" Id="rId46" Target="https://doi.org/10.1111/j.1748-7692.2006.00044.x" TargetMode="External" /><Relationship Type="http://schemas.openxmlformats.org/officeDocument/2006/relationships/hyperlink" Id="rId57" Target="https://doi.org/10.1111/j.1748-7692.2010.00457.x" TargetMode="External" /><Relationship Type="http://schemas.openxmlformats.org/officeDocument/2006/relationships/hyperlink" Id="rId45" Target="https://doi.org/10.1111/j.1748-7692.2011.00495.x" TargetMode="External" /><Relationship Type="http://schemas.openxmlformats.org/officeDocument/2006/relationships/hyperlink" Id="rId54" Target="https://doi.org/10.1111/mms.12624" TargetMode="External" /><Relationship Type="http://schemas.openxmlformats.org/officeDocument/2006/relationships/hyperlink" Id="rId56" Target="https://doi.org/10.1121/1.3089590" TargetMode="External" /><Relationship Type="http://schemas.openxmlformats.org/officeDocument/2006/relationships/hyperlink" Id="rId66" Target="https://doi.org/10.1371/journal.pone.0017009" TargetMode="External" /><Relationship Type="http://schemas.openxmlformats.org/officeDocument/2006/relationships/hyperlink" Id="rId61" Target="https://doi.org/10.1371/journal.pone.0042535" TargetMode="External" /><Relationship Type="http://schemas.openxmlformats.org/officeDocument/2006/relationships/hyperlink" Id="rId60" Target="https://doi.org/10.1371/journal.pone.0068725" TargetMode="External" /><Relationship Type="http://schemas.openxmlformats.org/officeDocument/2006/relationships/hyperlink" Id="rId58" Target="https://doi.org/10.1371/journal.pone.0085064" TargetMode="External" /><Relationship Type="http://schemas.openxmlformats.org/officeDocument/2006/relationships/hyperlink" Id="rId55" Target="https://doi.org/10.1578/AM.42.4.2016.507" TargetMode="External" /><Relationship Type="http://schemas.openxmlformats.org/officeDocument/2006/relationships/hyperlink" Id="rId51" Target="https://doi.org/10.1578/AM.42.4.2016.549" TargetMode="External" /><Relationship Type="http://schemas.openxmlformats.org/officeDocument/2006/relationships/hyperlink" Id="rId50" Target="https://doi.org/10.1578/AM.45.6.2019.661" TargetMode="External" /><Relationship Type="http://schemas.openxmlformats.org/officeDocument/2006/relationships/hyperlink" Id="rId47" Target="https://doi.org/10.5065/D6W957CT" TargetMode="External" /><Relationship Type="http://schemas.openxmlformats.org/officeDocument/2006/relationships/hyperlink" Id="rId63" Target="https://www.R-project.org/" TargetMode="External" /><Relationship Type="http://schemas.openxmlformats.org/officeDocument/2006/relationships/hyperlink" Id="rId59" Target="https://www.hstteis.com/portals/hstteis/files/hstteis_p3/feis/section/HSTT_FEIS_3.07_Marine_Mammals_October_201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2020-04-30T17:47:21Z</dcterms:created>
  <dcterms:modified xsi:type="dcterms:W3CDTF">2020-04-30T17:47:21Z</dcterms:modified>
</cp:coreProperties>
</file>