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84B67" w14:textId="7A0D7A02" w:rsidR="00F26BF9" w:rsidRPr="00CB74E3" w:rsidRDefault="00505438" w:rsidP="00D469A1">
      <w:pPr>
        <w:pStyle w:val="Title"/>
        <w:ind w:firstLine="0"/>
      </w:pPr>
      <w:r w:rsidRPr="00CB74E3">
        <w:t>SUPPORTING INFORMATION</w:t>
      </w:r>
    </w:p>
    <w:p w14:paraId="04C4C987" w14:textId="481ED343" w:rsidR="00BB3F20" w:rsidRPr="007D48CF" w:rsidRDefault="00BB3F20" w:rsidP="0082745D">
      <w:pPr>
        <w:pStyle w:val="Heading1"/>
      </w:pPr>
      <w:r w:rsidRPr="007D48CF">
        <w:t>Energy budget model</w:t>
      </w:r>
    </w:p>
    <w:p w14:paraId="34CA90CD" w14:textId="2FC7FC9C" w:rsidR="00AB5077" w:rsidRPr="007D48CF" w:rsidRDefault="00783D95" w:rsidP="0082745D">
      <w:pPr>
        <w:pStyle w:val="Firstparagraph"/>
      </w:pPr>
      <w:r w:rsidRPr="007D48CF">
        <w:t xml:space="preserve">We used the energy budget model originally developed by </w:t>
      </w:r>
      <w:r w:rsidR="00583195">
        <w:fldChar w:fldCharType="begin"/>
      </w:r>
      <w:r w:rsidR="007D4970">
        <w:instrText xml:space="preserve"> ADDIN ZOTERO_ITEM CSL_CITATION {"citationID":"I4uELVYP","properties":{"formattedCitation":"(De Roos et al., 2009)","plainCitation":"(De Roos et al., 2009)","dontUpdate":true,"noteIndex":0},"citationItems":[{"id":1823,"uris":["http://zotero.org/users/local/6qJKLD2C/items/APEZZY85"],"uri":["http://zotero.org/users/local/6qJKLD2C/items/APEZZY85"],"itemData":{"id":1823,"type":"article-journal","abstract":"We analyze an age-, size- and sex-structured model to investigate how the interplay between individual-level energy budget dynamics and the feedback of population grazing on resources shapes the individual life history and the dynamics of ungulate populations, living in a predator-free, seasonal resource environment. We formulate a dynamic energy budget model for individual energetics, which accounts for energy requirements for maintenance and growth, and possibly pregnancy and lactation. Growth in structural mass is assumed prescribed. Dynamics of energy reserves are the resultant of energy acquisition through grazing and suckling of milk and the aforementioned energyconsuming processes. The dynamic energy budget model is used as the core for an individualbased population model, which captures general features of ungulate life history and population dynamics, although it is parameterized for a particular system.","container-title":"Ecology","DOI":"10.1890/07-1153.1","ISSN":"0012-9658","issue":"4","journalAbbreviation":"Ecology","language":"en","page":"945-960","source":"DOI.org (Crossref)","title":"How resource competition shapes individual life history for nonplastic growth: ungulates in seasonal food environments","title-short":"How resource competition shapes individual life history for nonplastic growth","volume":"90","author":[{"family":"De Roos","given":"André M."},{"family":"Galic","given":"Nika"},{"family":"Heesterbeek","given":"Hans"}],"issued":{"date-parts":[["2009",4]]}}}],"schema":"https://github.com/citation-style-language/schema/raw/master/csl-citation.json"} </w:instrText>
      </w:r>
      <w:r w:rsidR="00583195">
        <w:fldChar w:fldCharType="separate"/>
      </w:r>
      <w:r w:rsidR="00761A62">
        <w:rPr>
          <w:noProof/>
        </w:rPr>
        <w:t>De Roos et al., (2009)</w:t>
      </w:r>
      <w:r w:rsidR="00583195">
        <w:fldChar w:fldCharType="end"/>
      </w:r>
      <w:r w:rsidRPr="007D48CF">
        <w:t xml:space="preserve"> for ungulates and </w:t>
      </w:r>
      <w:r w:rsidR="00A32395" w:rsidRPr="007D48CF">
        <w:t>adapted for the long-finned pilot whale (</w:t>
      </w:r>
      <w:r w:rsidR="00A32395" w:rsidRPr="00761A62">
        <w:rPr>
          <w:i/>
          <w:iCs/>
        </w:rPr>
        <w:t>Globicephala melas</w:t>
      </w:r>
      <w:r w:rsidR="00A32395" w:rsidRPr="007D48CF">
        <w:t xml:space="preserve">) </w:t>
      </w:r>
      <w:r w:rsidRPr="007D48CF">
        <w:t>by</w:t>
      </w:r>
      <w:r w:rsidR="00761A62">
        <w:t xml:space="preserve"> </w:t>
      </w:r>
      <w:r w:rsidR="00C16EB1">
        <w:t xml:space="preserve">Hin et al. </w:t>
      </w:r>
      <w:r w:rsidR="00761A62">
        <w:fldChar w:fldCharType="begin"/>
      </w:r>
      <w:r w:rsidR="00681A82">
        <w:instrText xml:space="preserve"> ADDIN ZOTERO_ITEM CSL_CITATION {"citationID":"ZWUy0o90","properties":{"formattedCitation":"(2021, 2019)","plainCitation":"(2021, 2019)","noteIndex":0},"citationItems":[{"id":2377,"uris":["http://zotero.org/users/local/6qJKLD2C/items/AQ84RVRD"],"uri":["http://zotero.org/users/local/6qJKLD2C/items/AQ84RVRD"],"itemData":{"id":2377,"type":"article-journal","abstract":"Nonlethal disturbance of animals can cause behavioral and physiological changes that affect individual health status and vital rates, with potential consequences at the population level. Predicting these population effects remains a major challenge in ecology and conservation. Monitoring fitness-related traits may improve detection of upcoming population changes, but the extent to which individual traits are reliable indicators of disturbance exposure is not well understood, especially for populations regulated by density dependence. Here we study how density dependence affects a population’s response to disturbance and modifies the disturbance effects on individual health and vital rates. We extend an energy budget model for a medium-sized cetacean (the long-finned pilot whale\n              Globicephala melas\n              ) to an individual-based population model in which whales feed on a self-replenishing prey base and disturbance leads to cessation of feeding. In this coupled predator-prey system, the whale population is regulated through prey depletion and the onset of yearly repeating disturbances on the whale population at carrying capacity decreased population density and increased prey availability due to reduced top-down control. In populations faced with multiple days of continuous disturbance each year, female whales that were lactating their first calf experienced increased mortality due to depletion of energy stores. However, increased prey availability led to compensatory effects and resulted in a subsequent improvement of mean female body condition, mean age at first reproduction and higher age-specific reproductive output. These results indicate that prey-mediated density dependence can mask negative effects of disturbance on fitness-related traits and vital rates, a result with implications for the monitoring and management of marine mammal populations.","container-title":"PLOS ONE","DOI":"10.1371/journal.pone.0252677","ISSN":"1932-6203","issue":"6","journalAbbreviation":"PLoS ONE","language":"en","page":"e0252677","source":"DOI.org (Crossref)","title":"Density dependence can obscure nonlethal effects of disturbance on life history of medium-sized cetaceans","volume":"16","author":[{"family":"Hin","given":"Vincent"},{"family":"Harwood","given":"John"},{"family":"Roos","given":"André M.","non-dropping-particle":"de"}],"editor":[{"family":"Paiva","given":"Vitor Hugo Rodrigues"}],"issued":{"date-parts":[["2021",6,3]]}},"suppress-author":true},{"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w:instrText>
      </w:r>
      <w:r w:rsidR="00681A82">
        <w:rPr>
          <w:rFonts w:ascii="Cambria Math" w:hAnsi="Cambria Math" w:cs="Cambria Math"/>
        </w:rPr>
        <w:instrText>‐</w:instrText>
      </w:r>
      <w:r w:rsidR="00681A82">
        <w:instrText>energetic modeling of medium</w:instrText>
      </w:r>
      <w:r w:rsidR="00681A82">
        <w:rPr>
          <w:rFonts w:ascii="Cambria Math" w:hAnsi="Cambria Math" w:cs="Cambria Math"/>
        </w:rPr>
        <w:instrText>‐</w:instrText>
      </w:r>
      <w:r w:rsidR="00681A82">
        <w:instrText xml:space="preserve">sized cetaceans shows high sensitivity to disturbance in seasons of low resource supply","URL":"https://onlinelibrary.wiley.com/doi/abs/10.1002/eap.1903","volume":"29","author":[{"family":"Hin","given":"Vincent"},{"family":"Harwood","given":"John"},{"family":"De Roos","given":"André M."}],"accessed":{"date-parts":[["2020",5,6]]},"issued":{"date-parts":[["2019",7]]}},"suppress-author":true}],"schema":"https://github.com/citation-style-language/schema/raw/master/csl-citation.json"} </w:instrText>
      </w:r>
      <w:r w:rsidR="00761A62">
        <w:fldChar w:fldCharType="separate"/>
      </w:r>
      <w:r w:rsidR="00681A82">
        <w:rPr>
          <w:noProof/>
        </w:rPr>
        <w:t>(2021, 2019)</w:t>
      </w:r>
      <w:r w:rsidR="00761A62">
        <w:fldChar w:fldCharType="end"/>
      </w:r>
      <w:r w:rsidRPr="007D48CF">
        <w:t>.</w:t>
      </w:r>
      <w:r w:rsidR="003C477D" w:rsidRPr="007D48CF">
        <w:t xml:space="preserve"> </w:t>
      </w:r>
      <w:r w:rsidR="007C1D8B" w:rsidRPr="007D48CF">
        <w:t xml:space="preserve">This model describes individual energy acquisition from prey feeding (and milk suckling for calves) and utilization of energy on metabolism, growth in body size, pregnancy and lactation, as a function of an individual's state. All individual state variables are listed in Table </w:t>
      </w:r>
      <w:r w:rsidR="00833743" w:rsidRPr="007D48CF">
        <w:t>S1</w:t>
      </w:r>
      <w:r w:rsidR="00672F3D" w:rsidRPr="007D48CF">
        <w:t xml:space="preserve"> </w:t>
      </w:r>
      <w:r w:rsidR="007C1D8B" w:rsidRPr="007D48CF">
        <w:t>and model equations</w:t>
      </w:r>
      <w:r w:rsidR="007D4B34">
        <w:t xml:space="preserve"> </w:t>
      </w:r>
      <w:r w:rsidR="007C1D8B" w:rsidRPr="007D48CF">
        <w:t xml:space="preserve">are given in Table </w:t>
      </w:r>
      <w:r w:rsidR="00833743" w:rsidRPr="007D48CF">
        <w:t>S</w:t>
      </w:r>
      <w:r w:rsidR="000721F1" w:rsidRPr="007D48CF">
        <w:t>2</w:t>
      </w:r>
      <w:r w:rsidR="00FD48C2">
        <w:t>.</w:t>
      </w:r>
    </w:p>
    <w:p w14:paraId="10AF9DBB" w14:textId="0908B443" w:rsidR="007978DF" w:rsidRDefault="007978DF" w:rsidP="007978DF">
      <w:pPr>
        <w:pStyle w:val="NoSpacing"/>
        <w:jc w:val="left"/>
      </w:pPr>
      <w:r w:rsidRPr="00CE66B2">
        <w:rPr>
          <w:b/>
          <w:bCs/>
        </w:rPr>
        <w:t>Table S</w:t>
      </w:r>
      <w:r w:rsidRPr="00CE66B2">
        <w:rPr>
          <w:b/>
          <w:bCs/>
        </w:rPr>
        <w:fldChar w:fldCharType="begin"/>
      </w:r>
      <w:r w:rsidRPr="00CE66B2">
        <w:rPr>
          <w:b/>
          <w:bCs/>
        </w:rPr>
        <w:instrText xml:space="preserve"> SEQ Table_S \* ARABIC </w:instrText>
      </w:r>
      <w:r w:rsidRPr="00CE66B2">
        <w:rPr>
          <w:b/>
          <w:bCs/>
        </w:rPr>
        <w:fldChar w:fldCharType="separate"/>
      </w:r>
      <w:r w:rsidR="00F07D93">
        <w:rPr>
          <w:b/>
          <w:bCs/>
          <w:noProof/>
        </w:rPr>
        <w:t>1</w:t>
      </w:r>
      <w:r w:rsidRPr="00CE66B2">
        <w:rPr>
          <w:b/>
          <w:bCs/>
        </w:rPr>
        <w:fldChar w:fldCharType="end"/>
      </w:r>
      <w:r w:rsidR="00CE66B2">
        <w:t>:</w:t>
      </w:r>
      <w:r w:rsidRPr="007978DF">
        <w:t xml:space="preserve"> </w:t>
      </w:r>
      <w:r w:rsidRPr="00C86042">
        <w:t>Individual state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939"/>
        <w:gridCol w:w="3090"/>
        <w:gridCol w:w="605"/>
      </w:tblGrid>
      <w:tr w:rsidR="00985C3A" w:rsidRPr="00132F1B" w14:paraId="0DA822B8" w14:textId="77777777" w:rsidTr="00AA76F2">
        <w:trPr>
          <w:trHeight w:val="340"/>
        </w:trPr>
        <w:tc>
          <w:tcPr>
            <w:tcW w:w="0" w:type="auto"/>
            <w:tcBorders>
              <w:top w:val="single" w:sz="8" w:space="0" w:color="000000"/>
              <w:bottom w:val="single" w:sz="8" w:space="0" w:color="000000"/>
            </w:tcBorders>
            <w:vAlign w:val="center"/>
          </w:tcPr>
          <w:p w14:paraId="51F0355B" w14:textId="4619F0D3" w:rsidR="00AB5077" w:rsidRPr="00543730" w:rsidRDefault="00AB5077" w:rsidP="00AA76F2">
            <w:pPr>
              <w:pStyle w:val="NoSpacing"/>
              <w:jc w:val="left"/>
              <w:rPr>
                <w:b/>
                <w:bCs/>
              </w:rPr>
            </w:pPr>
            <w:r w:rsidRPr="00543730">
              <w:rPr>
                <w:b/>
                <w:bCs/>
              </w:rPr>
              <w:t>State variable</w:t>
            </w:r>
          </w:p>
        </w:tc>
        <w:tc>
          <w:tcPr>
            <w:tcW w:w="0" w:type="auto"/>
            <w:tcBorders>
              <w:top w:val="single" w:sz="8" w:space="0" w:color="000000"/>
              <w:bottom w:val="single" w:sz="8" w:space="0" w:color="000000"/>
            </w:tcBorders>
            <w:vAlign w:val="center"/>
          </w:tcPr>
          <w:p w14:paraId="073BBE80" w14:textId="3080D3EA" w:rsidR="00AB5077" w:rsidRPr="00543730" w:rsidRDefault="00AB5077" w:rsidP="00AA76F2">
            <w:pPr>
              <w:pStyle w:val="NoSpacing"/>
              <w:jc w:val="left"/>
              <w:rPr>
                <w:b/>
                <w:bCs/>
              </w:rPr>
            </w:pPr>
            <w:r w:rsidRPr="00543730">
              <w:rPr>
                <w:b/>
                <w:bCs/>
              </w:rPr>
              <w:t>Symbol</w:t>
            </w:r>
          </w:p>
        </w:tc>
        <w:tc>
          <w:tcPr>
            <w:tcW w:w="0" w:type="auto"/>
            <w:tcBorders>
              <w:top w:val="single" w:sz="8" w:space="0" w:color="000000"/>
              <w:bottom w:val="single" w:sz="8" w:space="0" w:color="000000"/>
            </w:tcBorders>
            <w:vAlign w:val="center"/>
          </w:tcPr>
          <w:p w14:paraId="1A07F132" w14:textId="3F4B6A28" w:rsidR="00AB5077" w:rsidRPr="00543730" w:rsidRDefault="00AB5077" w:rsidP="00AA76F2">
            <w:pPr>
              <w:pStyle w:val="NoSpacing"/>
              <w:jc w:val="left"/>
              <w:rPr>
                <w:b/>
                <w:bCs/>
              </w:rPr>
            </w:pPr>
            <w:r w:rsidRPr="00543730">
              <w:rPr>
                <w:b/>
                <w:bCs/>
              </w:rPr>
              <w:t>Equation</w:t>
            </w:r>
          </w:p>
        </w:tc>
        <w:tc>
          <w:tcPr>
            <w:tcW w:w="0" w:type="auto"/>
            <w:tcBorders>
              <w:top w:val="single" w:sz="8" w:space="0" w:color="000000"/>
              <w:bottom w:val="single" w:sz="8" w:space="0" w:color="000000"/>
            </w:tcBorders>
            <w:vAlign w:val="center"/>
          </w:tcPr>
          <w:p w14:paraId="3DBCC396" w14:textId="23D9C7A4" w:rsidR="00AB5077" w:rsidRPr="00543730" w:rsidRDefault="00AB5077" w:rsidP="00AA76F2">
            <w:pPr>
              <w:pStyle w:val="NoSpacing"/>
              <w:jc w:val="left"/>
              <w:rPr>
                <w:b/>
                <w:bCs/>
              </w:rPr>
            </w:pPr>
            <w:r w:rsidRPr="00543730">
              <w:rPr>
                <w:b/>
                <w:bCs/>
              </w:rPr>
              <w:t>Unit</w:t>
            </w:r>
          </w:p>
        </w:tc>
      </w:tr>
      <w:tr w:rsidR="00985C3A" w:rsidRPr="00132F1B" w14:paraId="04B47076" w14:textId="77777777" w:rsidTr="001A003E">
        <w:trPr>
          <w:trHeight w:val="340"/>
        </w:trPr>
        <w:tc>
          <w:tcPr>
            <w:tcW w:w="0" w:type="auto"/>
            <w:tcBorders>
              <w:top w:val="single" w:sz="8" w:space="0" w:color="000000"/>
            </w:tcBorders>
            <w:vAlign w:val="center"/>
          </w:tcPr>
          <w:p w14:paraId="06489C6D" w14:textId="65F39DCF" w:rsidR="00AB5077" w:rsidRPr="00132F1B" w:rsidRDefault="00AB5077" w:rsidP="001A003E">
            <w:pPr>
              <w:pStyle w:val="NoSpacing"/>
              <w:jc w:val="left"/>
            </w:pPr>
            <w:r w:rsidRPr="00132F1B">
              <w:t>Age</w:t>
            </w:r>
          </w:p>
        </w:tc>
        <w:tc>
          <w:tcPr>
            <w:tcW w:w="0" w:type="auto"/>
            <w:tcBorders>
              <w:top w:val="single" w:sz="8" w:space="0" w:color="000000"/>
            </w:tcBorders>
            <w:vAlign w:val="center"/>
          </w:tcPr>
          <w:p w14:paraId="2AA5C230" w14:textId="0F1418A6" w:rsidR="00AB5077" w:rsidRPr="006A5A2C" w:rsidRDefault="00AB5077" w:rsidP="001A003E">
            <w:pPr>
              <w:pStyle w:val="NoSpacing"/>
              <w:jc w:val="left"/>
            </w:pPr>
            <m:oMathPara>
              <m:oMathParaPr>
                <m:jc m:val="center"/>
              </m:oMathParaPr>
              <m:oMath>
                <m:r>
                  <w:rPr>
                    <w:rFonts w:ascii="Cambria Math" w:hAnsi="Cambria Math"/>
                  </w:rPr>
                  <m:t>a</m:t>
                </m:r>
              </m:oMath>
            </m:oMathPara>
          </w:p>
        </w:tc>
        <w:tc>
          <w:tcPr>
            <w:tcW w:w="0" w:type="auto"/>
            <w:tcBorders>
              <w:top w:val="single" w:sz="8" w:space="0" w:color="000000"/>
            </w:tcBorders>
          </w:tcPr>
          <w:p w14:paraId="341774F1" w14:textId="6FA552BC" w:rsidR="00AB5077" w:rsidRPr="00132F1B" w:rsidRDefault="00AB5077" w:rsidP="001A003E">
            <w:pPr>
              <w:pStyle w:val="NoSpacing"/>
              <w:jc w:val="left"/>
            </w:pPr>
            <w:r w:rsidRPr="00132F1B">
              <w:t>-</w:t>
            </w:r>
          </w:p>
        </w:tc>
        <w:tc>
          <w:tcPr>
            <w:tcW w:w="0" w:type="auto"/>
            <w:tcBorders>
              <w:top w:val="single" w:sz="8" w:space="0" w:color="000000"/>
            </w:tcBorders>
          </w:tcPr>
          <w:p w14:paraId="02EE22A9" w14:textId="6C8ED2CF" w:rsidR="00AB5077" w:rsidRPr="00132F1B" w:rsidRDefault="00AB5077" w:rsidP="001A003E">
            <w:pPr>
              <w:pStyle w:val="NoSpacing"/>
            </w:pPr>
            <w:r w:rsidRPr="00132F1B">
              <w:t>day</w:t>
            </w:r>
          </w:p>
        </w:tc>
      </w:tr>
      <w:tr w:rsidR="00957537" w:rsidRPr="00132F1B" w14:paraId="0C79B841" w14:textId="77777777" w:rsidTr="001A003E">
        <w:trPr>
          <w:trHeight w:val="340"/>
        </w:trPr>
        <w:tc>
          <w:tcPr>
            <w:tcW w:w="0" w:type="auto"/>
            <w:vAlign w:val="center"/>
          </w:tcPr>
          <w:p w14:paraId="6893A8E3" w14:textId="2308B07A" w:rsidR="00957537" w:rsidRPr="00132F1B" w:rsidRDefault="00957537" w:rsidP="001A003E">
            <w:pPr>
              <w:pStyle w:val="NoSpacing"/>
              <w:jc w:val="left"/>
            </w:pPr>
            <w:r>
              <w:t>Time since conception</w:t>
            </w:r>
          </w:p>
        </w:tc>
        <w:tc>
          <w:tcPr>
            <w:tcW w:w="0" w:type="auto"/>
            <w:vAlign w:val="center"/>
          </w:tcPr>
          <w:p w14:paraId="03C302C8" w14:textId="738B0DC5" w:rsidR="00957537" w:rsidRPr="00132F1B" w:rsidRDefault="00C16EB1" w:rsidP="001A003E">
            <w:pPr>
              <w:pStyle w:val="NoSpacing"/>
              <w:jc w:val="left"/>
            </w:pPr>
            <m:oMathPara>
              <m:oMath>
                <m:sSub>
                  <m:sSubPr>
                    <m:ctrlPr>
                      <w:rPr>
                        <w:rFonts w:ascii="Cambria Math" w:hAnsi="Cambria Math"/>
                      </w:rPr>
                    </m:ctrlPr>
                  </m:sSubPr>
                  <m:e>
                    <m:r>
                      <w:rPr>
                        <w:rFonts w:ascii="Cambria Math" w:hAnsi="Cambria Math"/>
                      </w:rPr>
                      <m:t>τ</m:t>
                    </m:r>
                  </m:e>
                  <m:sub>
                    <m:r>
                      <w:rPr>
                        <w:rFonts w:ascii="Cambria Math" w:hAnsi="Cambria Math"/>
                      </w:rPr>
                      <m:t>p</m:t>
                    </m:r>
                  </m:sub>
                </m:sSub>
              </m:oMath>
            </m:oMathPara>
          </w:p>
        </w:tc>
        <w:tc>
          <w:tcPr>
            <w:tcW w:w="0" w:type="auto"/>
          </w:tcPr>
          <w:p w14:paraId="6B4E5EDD" w14:textId="0B0D830F" w:rsidR="00957537" w:rsidRPr="00132F1B" w:rsidRDefault="000A4A17" w:rsidP="001A003E">
            <w:pPr>
              <w:pStyle w:val="NoSpacing"/>
              <w:jc w:val="left"/>
            </w:pPr>
            <w:r>
              <w:t>-</w:t>
            </w:r>
          </w:p>
        </w:tc>
        <w:tc>
          <w:tcPr>
            <w:tcW w:w="0" w:type="auto"/>
          </w:tcPr>
          <w:p w14:paraId="389A2492" w14:textId="5D242F01" w:rsidR="00957537" w:rsidRPr="00132F1B" w:rsidRDefault="00957537" w:rsidP="001A003E">
            <w:pPr>
              <w:pStyle w:val="NoSpacing"/>
            </w:pPr>
            <w:r>
              <w:t>day</w:t>
            </w:r>
          </w:p>
        </w:tc>
      </w:tr>
      <w:tr w:rsidR="00985C3A" w:rsidRPr="00132F1B" w14:paraId="2B0AA564" w14:textId="77777777" w:rsidTr="001A003E">
        <w:trPr>
          <w:trHeight w:val="340"/>
        </w:trPr>
        <w:tc>
          <w:tcPr>
            <w:tcW w:w="0" w:type="auto"/>
            <w:vAlign w:val="center"/>
          </w:tcPr>
          <w:p w14:paraId="194B01CA" w14:textId="6ABC838B" w:rsidR="00AB5077" w:rsidRPr="00132F1B" w:rsidRDefault="00AB5077" w:rsidP="001A003E">
            <w:pPr>
              <w:pStyle w:val="NoSpacing"/>
              <w:jc w:val="left"/>
            </w:pPr>
            <w:r w:rsidRPr="00132F1B">
              <w:t>Structural length</w:t>
            </w:r>
          </w:p>
        </w:tc>
        <w:tc>
          <w:tcPr>
            <w:tcW w:w="0" w:type="auto"/>
            <w:vAlign w:val="center"/>
          </w:tcPr>
          <w:p w14:paraId="6D905F36" w14:textId="12B6CACC" w:rsidR="00AB5077" w:rsidRPr="006A5A2C" w:rsidRDefault="00AB5077" w:rsidP="001A003E">
            <w:pPr>
              <w:pStyle w:val="NoSpacing"/>
              <w:jc w:val="left"/>
            </w:pPr>
            <m:oMathPara>
              <m:oMathParaPr>
                <m:jc m:val="center"/>
              </m:oMathParaPr>
              <m:oMath>
                <m:r>
                  <w:rPr>
                    <w:rFonts w:ascii="Cambria Math" w:hAnsi="Cambria Math"/>
                  </w:rPr>
                  <m:t>l</m:t>
                </m:r>
              </m:oMath>
            </m:oMathPara>
          </w:p>
        </w:tc>
        <w:tc>
          <w:tcPr>
            <w:tcW w:w="0" w:type="auto"/>
          </w:tcPr>
          <w:p w14:paraId="56A19E74" w14:textId="61D2CBB3" w:rsidR="00AB5077" w:rsidRPr="00132F1B" w:rsidRDefault="00C16EB1" w:rsidP="001A003E">
            <w:pPr>
              <w:pStyle w:val="NoSpacing"/>
              <w:jc w:val="left"/>
            </w:pPr>
            <m:oMathPara>
              <m:oMathParaPr>
                <m:jc m:val="left"/>
              </m:oMathParaP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b</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ka</m:t>
                    </m:r>
                  </m:sup>
                </m:sSup>
              </m:oMath>
            </m:oMathPara>
          </w:p>
        </w:tc>
        <w:tc>
          <w:tcPr>
            <w:tcW w:w="0" w:type="auto"/>
          </w:tcPr>
          <w:p w14:paraId="1148A5BB" w14:textId="238F51BC" w:rsidR="00AB5077" w:rsidRPr="00132F1B" w:rsidRDefault="00AB5077" w:rsidP="001A003E">
            <w:pPr>
              <w:pStyle w:val="NoSpacing"/>
            </w:pPr>
            <w:r w:rsidRPr="00132F1B">
              <w:t>cm</w:t>
            </w:r>
          </w:p>
        </w:tc>
      </w:tr>
      <w:tr w:rsidR="00440439" w:rsidRPr="00132F1B" w14:paraId="3B03E555" w14:textId="77777777" w:rsidTr="001A003E">
        <w:trPr>
          <w:trHeight w:val="340"/>
        </w:trPr>
        <w:tc>
          <w:tcPr>
            <w:tcW w:w="0" w:type="auto"/>
            <w:vAlign w:val="center"/>
          </w:tcPr>
          <w:p w14:paraId="4269B23C" w14:textId="7FE6281B" w:rsidR="00440439" w:rsidRPr="00132F1B" w:rsidRDefault="00440439" w:rsidP="001A003E">
            <w:pPr>
              <w:pStyle w:val="NoSpacing"/>
              <w:jc w:val="left"/>
            </w:pPr>
            <w:r>
              <w:t>Structural length fetus</w:t>
            </w:r>
          </w:p>
        </w:tc>
        <w:tc>
          <w:tcPr>
            <w:tcW w:w="0" w:type="auto"/>
            <w:vAlign w:val="center"/>
          </w:tcPr>
          <w:p w14:paraId="6BE781C9" w14:textId="389B2CA8" w:rsidR="00440439" w:rsidRPr="00132F1B" w:rsidRDefault="00C16EB1" w:rsidP="001A003E">
            <w:pPr>
              <w:pStyle w:val="NoSpacing"/>
              <w:jc w:val="left"/>
            </w:pPr>
            <m:oMathPara>
              <m:oMath>
                <m:sSub>
                  <m:sSubPr>
                    <m:ctrlPr>
                      <w:rPr>
                        <w:rFonts w:ascii="Cambria Math" w:hAnsi="Cambria Math"/>
                      </w:rPr>
                    </m:ctrlPr>
                  </m:sSubPr>
                  <m:e>
                    <m:r>
                      <w:rPr>
                        <w:rFonts w:ascii="Cambria Math" w:hAnsi="Cambria Math"/>
                      </w:rPr>
                      <m:t>l</m:t>
                    </m:r>
                  </m:e>
                  <m:sub>
                    <m:r>
                      <w:rPr>
                        <w:rFonts w:ascii="Cambria Math" w:hAnsi="Cambria Math"/>
                      </w:rPr>
                      <m:t>p</m:t>
                    </m:r>
                  </m:sub>
                </m:sSub>
              </m:oMath>
            </m:oMathPara>
          </w:p>
        </w:tc>
        <w:tc>
          <w:tcPr>
            <w:tcW w:w="0" w:type="auto"/>
          </w:tcPr>
          <w:p w14:paraId="2B6AE718" w14:textId="1DE29E70" w:rsidR="00440439" w:rsidRPr="00440439" w:rsidRDefault="00C16EB1" w:rsidP="001A003E">
            <w:pPr>
              <w:pStyle w:val="NoSpacing"/>
              <w:jc w:val="left"/>
              <w:rPr>
                <w:rFonts w:eastAsia="Calibri"/>
                <w:iCs/>
              </w:rPr>
            </w:pPr>
            <m:oMath>
              <m:sSub>
                <m:sSubPr>
                  <m:ctrlPr>
                    <w:rPr>
                      <w:rFonts w:ascii="Cambria Math" w:hAnsi="Cambria Math"/>
                    </w:rPr>
                  </m:ctrlPr>
                </m:sSubPr>
                <m:e>
                  <m:r>
                    <w:rPr>
                      <w:rFonts w:ascii="Cambria Math" w:hAnsi="Cambria Math"/>
                    </w:rPr>
                    <m:t>l</m:t>
                  </m:r>
                </m:e>
                <m:sub>
                  <m:r>
                    <w:rPr>
                      <w:rFonts w:ascii="Cambria Math" w:hAnsi="Cambria Math"/>
                    </w:rPr>
                    <m:t>b</m:t>
                  </m:r>
                </m:sub>
              </m:sSub>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p</m:t>
                      </m:r>
                    </m:sub>
                  </m:sSub>
                </m:num>
                <m:den>
                  <m:sSub>
                    <m:sSubPr>
                      <m:ctrlPr>
                        <w:rPr>
                          <w:rFonts w:ascii="Cambria Math" w:hAnsi="Cambria Math"/>
                        </w:rPr>
                      </m:ctrlPr>
                    </m:sSubPr>
                    <m:e>
                      <m:r>
                        <w:rPr>
                          <w:rFonts w:ascii="Cambria Math" w:hAnsi="Cambria Math"/>
                        </w:rPr>
                        <m:t>T</m:t>
                      </m:r>
                    </m:e>
                    <m:sub>
                      <m:r>
                        <w:rPr>
                          <w:rFonts w:ascii="Cambria Math" w:hAnsi="Cambria Math"/>
                        </w:rPr>
                        <m:t>P</m:t>
                      </m:r>
                    </m:sub>
                  </m:sSub>
                </m:den>
              </m:f>
            </m:oMath>
            <w:r w:rsidR="00623116">
              <w:rPr>
                <w:rFonts w:eastAsia="Calibri"/>
              </w:rPr>
              <w:t xml:space="preserve"> </w:t>
            </w:r>
            <w:r w:rsidR="00623116">
              <w:rPr>
                <w:rFonts w:eastAsia="Calibri"/>
              </w:rPr>
              <w:tab/>
              <w:t xml:space="preserve">for </w:t>
            </w:r>
            <m:oMath>
              <m:r>
                <m:rPr>
                  <m:sty m:val="p"/>
                </m:rPr>
                <w:rPr>
                  <w:rFonts w:ascii="Cambria Math" w:eastAsiaTheme="minorEastAsia" w:hAnsi="Cambria Math"/>
                </w:rPr>
                <m:t>0≤</m:t>
              </m:r>
              <m:sSub>
                <m:sSubPr>
                  <m:ctrlPr>
                    <w:rPr>
                      <w:rFonts w:ascii="Cambria Math" w:hAnsi="Cambria Math"/>
                    </w:rPr>
                  </m:ctrlPr>
                </m:sSubPr>
                <m:e>
                  <m:r>
                    <w:rPr>
                      <w:rFonts w:ascii="Cambria Math" w:hAnsi="Cambria Math"/>
                    </w:rPr>
                    <m:t>τ</m:t>
                  </m:r>
                </m:e>
                <m:sub>
                  <m:r>
                    <w:rPr>
                      <w:rFonts w:ascii="Cambria Math" w:hAnsi="Cambria Math"/>
                    </w:rPr>
                    <m:t>p</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oMath>
          </w:p>
        </w:tc>
        <w:tc>
          <w:tcPr>
            <w:tcW w:w="0" w:type="auto"/>
          </w:tcPr>
          <w:p w14:paraId="3F304CED" w14:textId="2CB2DFFB" w:rsidR="00440439" w:rsidRPr="00132F1B" w:rsidRDefault="00AE4CA5" w:rsidP="001A003E">
            <w:pPr>
              <w:pStyle w:val="NoSpacing"/>
            </w:pPr>
            <w:r>
              <w:t>cm</w:t>
            </w:r>
          </w:p>
        </w:tc>
      </w:tr>
      <w:tr w:rsidR="00985C3A" w:rsidRPr="00132F1B" w14:paraId="14FB517C" w14:textId="77777777" w:rsidTr="001A003E">
        <w:trPr>
          <w:trHeight w:val="340"/>
        </w:trPr>
        <w:tc>
          <w:tcPr>
            <w:tcW w:w="0" w:type="auto"/>
            <w:vAlign w:val="center"/>
          </w:tcPr>
          <w:p w14:paraId="5277B87B" w14:textId="1D497F43" w:rsidR="00AB5077" w:rsidRPr="00132F1B" w:rsidRDefault="00AB5077" w:rsidP="001A003E">
            <w:pPr>
              <w:pStyle w:val="NoSpacing"/>
              <w:jc w:val="left"/>
            </w:pPr>
            <w:r w:rsidRPr="00132F1B">
              <w:t>Structural mass</w:t>
            </w:r>
          </w:p>
        </w:tc>
        <w:tc>
          <w:tcPr>
            <w:tcW w:w="0" w:type="auto"/>
            <w:vAlign w:val="center"/>
          </w:tcPr>
          <w:p w14:paraId="55ED27A4" w14:textId="0F057FFE" w:rsidR="00AB5077" w:rsidRPr="006A5A2C" w:rsidRDefault="00AB5077" w:rsidP="001A003E">
            <w:pPr>
              <w:pStyle w:val="NoSpacing"/>
              <w:jc w:val="left"/>
            </w:pPr>
            <m:oMathPara>
              <m:oMathParaPr>
                <m:jc m:val="center"/>
              </m:oMathParaPr>
              <m:oMath>
                <m:r>
                  <w:rPr>
                    <w:rFonts w:ascii="Cambria Math" w:hAnsi="Cambria Math"/>
                  </w:rPr>
                  <m:t>S</m:t>
                </m:r>
              </m:oMath>
            </m:oMathPara>
          </w:p>
        </w:tc>
        <w:tc>
          <w:tcPr>
            <w:tcW w:w="0" w:type="auto"/>
          </w:tcPr>
          <w:p w14:paraId="06169A12" w14:textId="516D4C6B" w:rsidR="00AB5077" w:rsidRPr="00132F1B" w:rsidRDefault="00C16EB1" w:rsidP="001A003E">
            <w:pPr>
              <w:pStyle w:val="NoSpacing"/>
              <w:jc w:val="left"/>
            </w:pPr>
            <m:oMathPara>
              <m:oMathParaPr>
                <m:jc m:val="left"/>
              </m:oMathParaPr>
              <m:oMath>
                <m:sSub>
                  <m:sSubPr>
                    <m:ctrlPr>
                      <w:rPr>
                        <w:rFonts w:ascii="Cambria Math" w:hAnsi="Cambria Math"/>
                      </w:rPr>
                    </m:ctrlPr>
                  </m:sSubPr>
                  <m:e>
                    <m:r>
                      <w:rPr>
                        <w:rFonts w:ascii="Cambria Math" w:hAnsi="Cambria Math"/>
                      </w:rPr>
                      <m:t>ω</m:t>
                    </m:r>
                  </m:e>
                  <m:sub>
                    <m:r>
                      <m:rPr>
                        <m:sty m:val="p"/>
                      </m:rPr>
                      <w:rPr>
                        <w:rFonts w:ascii="Cambria Math" w:hAnsi="Cambria Math"/>
                      </w:rPr>
                      <m:t>1</m:t>
                    </m:r>
                  </m:sub>
                </m:sSub>
                <m:sSup>
                  <m:sSupPr>
                    <m:ctrlPr>
                      <w:rPr>
                        <w:rFonts w:ascii="Cambria Math" w:hAnsi="Cambria Math"/>
                      </w:rPr>
                    </m:ctrlPr>
                  </m:sSupPr>
                  <m:e>
                    <m:r>
                      <w:rPr>
                        <w:rFonts w:ascii="Cambria Math" w:hAnsi="Cambria Math"/>
                      </w:rPr>
                      <m:t>l</m:t>
                    </m:r>
                  </m:e>
                  <m:sup>
                    <m:sSub>
                      <m:sSubPr>
                        <m:ctrlPr>
                          <w:rPr>
                            <w:rFonts w:ascii="Cambria Math" w:hAnsi="Cambria Math"/>
                          </w:rPr>
                        </m:ctrlPr>
                      </m:sSubPr>
                      <m:e>
                        <m:r>
                          <w:rPr>
                            <w:rFonts w:ascii="Cambria Math" w:hAnsi="Cambria Math"/>
                          </w:rPr>
                          <m:t>ω</m:t>
                        </m:r>
                      </m:e>
                      <m:sub>
                        <m:r>
                          <m:rPr>
                            <m:sty m:val="p"/>
                          </m:rPr>
                          <w:rPr>
                            <w:rFonts w:ascii="Cambria Math" w:hAnsi="Cambria Math"/>
                          </w:rPr>
                          <m:t>2</m:t>
                        </m:r>
                      </m:sub>
                    </m:sSub>
                  </m:sup>
                </m:sSup>
              </m:oMath>
            </m:oMathPara>
          </w:p>
        </w:tc>
        <w:tc>
          <w:tcPr>
            <w:tcW w:w="0" w:type="auto"/>
          </w:tcPr>
          <w:p w14:paraId="2C214FB3" w14:textId="337C9916" w:rsidR="00AB5077" w:rsidRPr="00132F1B" w:rsidRDefault="00AB5077" w:rsidP="001A003E">
            <w:pPr>
              <w:pStyle w:val="NoSpacing"/>
            </w:pPr>
            <w:r w:rsidRPr="00132F1B">
              <w:t>kg</w:t>
            </w:r>
          </w:p>
        </w:tc>
      </w:tr>
      <w:tr w:rsidR="00985C3A" w:rsidRPr="00132F1B" w14:paraId="1EAC8F7E" w14:textId="77777777" w:rsidTr="001A003E">
        <w:trPr>
          <w:trHeight w:val="340"/>
        </w:trPr>
        <w:tc>
          <w:tcPr>
            <w:tcW w:w="0" w:type="auto"/>
            <w:vAlign w:val="center"/>
          </w:tcPr>
          <w:p w14:paraId="0871B228" w14:textId="6A15942B" w:rsidR="00AB5077" w:rsidRPr="00132F1B" w:rsidRDefault="00936916" w:rsidP="001A003E">
            <w:pPr>
              <w:pStyle w:val="NoSpacing"/>
              <w:jc w:val="left"/>
            </w:pPr>
            <w:r w:rsidRPr="00132F1B">
              <w:t>Reserve mass</w:t>
            </w:r>
          </w:p>
        </w:tc>
        <w:tc>
          <w:tcPr>
            <w:tcW w:w="0" w:type="auto"/>
            <w:vAlign w:val="center"/>
          </w:tcPr>
          <w:p w14:paraId="0CCC4D2D" w14:textId="50C78798" w:rsidR="00AB5077" w:rsidRPr="006A5A2C" w:rsidRDefault="00936916" w:rsidP="001A003E">
            <w:pPr>
              <w:pStyle w:val="NoSpacing"/>
              <w:jc w:val="left"/>
            </w:pPr>
            <m:oMathPara>
              <m:oMathParaPr>
                <m:jc m:val="center"/>
              </m:oMathParaPr>
              <m:oMath>
                <m:r>
                  <w:rPr>
                    <w:rFonts w:ascii="Cambria Math" w:hAnsi="Cambria Math"/>
                  </w:rPr>
                  <m:t>F</m:t>
                </m:r>
              </m:oMath>
            </m:oMathPara>
          </w:p>
        </w:tc>
        <w:tc>
          <w:tcPr>
            <w:tcW w:w="0" w:type="auto"/>
          </w:tcPr>
          <w:p w14:paraId="14B96402" w14:textId="11A9B846" w:rsidR="00AB5077" w:rsidRPr="00132F1B" w:rsidRDefault="00936916" w:rsidP="001A003E">
            <w:pPr>
              <w:pStyle w:val="NoSpacing"/>
              <w:jc w:val="left"/>
            </w:pPr>
            <w:r w:rsidRPr="00132F1B">
              <w:t>-</w:t>
            </w:r>
          </w:p>
        </w:tc>
        <w:tc>
          <w:tcPr>
            <w:tcW w:w="0" w:type="auto"/>
          </w:tcPr>
          <w:p w14:paraId="273E5E18" w14:textId="591A23D4" w:rsidR="00AB5077" w:rsidRPr="00132F1B" w:rsidRDefault="00936916" w:rsidP="001A003E">
            <w:pPr>
              <w:pStyle w:val="NoSpacing"/>
            </w:pPr>
            <w:r w:rsidRPr="00132F1B">
              <w:t>kg</w:t>
            </w:r>
          </w:p>
        </w:tc>
      </w:tr>
      <w:tr w:rsidR="00985C3A" w:rsidRPr="00132F1B" w14:paraId="4B0A95B6" w14:textId="77777777" w:rsidTr="001A003E">
        <w:trPr>
          <w:trHeight w:val="340"/>
        </w:trPr>
        <w:tc>
          <w:tcPr>
            <w:tcW w:w="0" w:type="auto"/>
            <w:vAlign w:val="center"/>
          </w:tcPr>
          <w:p w14:paraId="5D09A745" w14:textId="57E9F5DF" w:rsidR="00AB5077" w:rsidRPr="00132F1B" w:rsidRDefault="00936916" w:rsidP="001A003E">
            <w:pPr>
              <w:pStyle w:val="NoSpacing"/>
              <w:jc w:val="left"/>
            </w:pPr>
            <w:r w:rsidRPr="00132F1B">
              <w:t xml:space="preserve">Total </w:t>
            </w:r>
            <w:r w:rsidR="00043F76">
              <w:t>mass</w:t>
            </w:r>
          </w:p>
        </w:tc>
        <w:tc>
          <w:tcPr>
            <w:tcW w:w="0" w:type="auto"/>
            <w:vAlign w:val="center"/>
          </w:tcPr>
          <w:p w14:paraId="5662DB61" w14:textId="5C68159F" w:rsidR="00AB5077" w:rsidRPr="006A5A2C" w:rsidRDefault="00936916" w:rsidP="001A003E">
            <w:pPr>
              <w:pStyle w:val="NoSpacing"/>
              <w:jc w:val="left"/>
            </w:pPr>
            <m:oMathPara>
              <m:oMathParaPr>
                <m:jc m:val="center"/>
              </m:oMathParaPr>
              <m:oMath>
                <m:r>
                  <w:rPr>
                    <w:rFonts w:ascii="Cambria Math" w:hAnsi="Cambria Math"/>
                  </w:rPr>
                  <m:t>W</m:t>
                </m:r>
              </m:oMath>
            </m:oMathPara>
          </w:p>
        </w:tc>
        <w:tc>
          <w:tcPr>
            <w:tcW w:w="0" w:type="auto"/>
          </w:tcPr>
          <w:p w14:paraId="298705DC" w14:textId="2179BF76" w:rsidR="00AB5077" w:rsidRPr="00132F1B" w:rsidRDefault="00C16EB1" w:rsidP="001A003E">
            <w:pPr>
              <w:pStyle w:val="NoSpacing"/>
              <w:jc w:val="left"/>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p</m:t>
                                    </m:r>
                                  </m:sub>
                                </m:sSub>
                              </m:e>
                            </m:d>
                          </m:e>
                        </m:d>
                        <m:r>
                          <m:rPr>
                            <m:sty m:val="p"/>
                          </m:rPr>
                          <w:rPr>
                            <w:rFonts w:ascii="Cambria Math" w:hAnsi="Cambria Math"/>
                          </w:rPr>
                          <m:t xml:space="preserve"> </m:t>
                        </m:r>
                        <m:r>
                          <m:rPr>
                            <m:nor/>
                          </m:rPr>
                          <m:t xml:space="preserve">pregnant  </m:t>
                        </m:r>
                      </m:e>
                      <m:e>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 xml:space="preserve">                           </m:t>
                        </m:r>
                        <m:r>
                          <m:rPr>
                            <m:nor/>
                          </m:rPr>
                          <m:t>otherwise</m:t>
                        </m:r>
                      </m:e>
                    </m:eqArr>
                  </m:e>
                </m:d>
              </m:oMath>
            </m:oMathPara>
          </w:p>
        </w:tc>
        <w:tc>
          <w:tcPr>
            <w:tcW w:w="0" w:type="auto"/>
          </w:tcPr>
          <w:p w14:paraId="3BF898CC" w14:textId="76DC686B" w:rsidR="00AB5077" w:rsidRPr="00132F1B" w:rsidRDefault="00936916" w:rsidP="001A003E">
            <w:pPr>
              <w:pStyle w:val="NoSpacing"/>
            </w:pPr>
            <w:r w:rsidRPr="00132F1B">
              <w:t>kg</w:t>
            </w:r>
          </w:p>
        </w:tc>
      </w:tr>
      <w:tr w:rsidR="00957537" w:rsidRPr="00132F1B" w14:paraId="7E2BBE0B" w14:textId="77777777" w:rsidTr="001A003E">
        <w:trPr>
          <w:trHeight w:val="340"/>
        </w:trPr>
        <w:tc>
          <w:tcPr>
            <w:tcW w:w="0" w:type="auto"/>
            <w:vAlign w:val="center"/>
          </w:tcPr>
          <w:p w14:paraId="21459CA7" w14:textId="6DBA9470" w:rsidR="00936916" w:rsidRPr="00132F1B" w:rsidRDefault="00936916" w:rsidP="001A003E">
            <w:pPr>
              <w:pStyle w:val="NoSpacing"/>
              <w:jc w:val="left"/>
            </w:pPr>
            <w:r w:rsidRPr="00132F1B">
              <w:t xml:space="preserve">Maintenance </w:t>
            </w:r>
            <w:r w:rsidR="00043F76">
              <w:t>mass</w:t>
            </w:r>
          </w:p>
        </w:tc>
        <w:tc>
          <w:tcPr>
            <w:tcW w:w="0" w:type="auto"/>
            <w:vAlign w:val="center"/>
          </w:tcPr>
          <w:p w14:paraId="06978804" w14:textId="74B9DE5C" w:rsidR="00936916" w:rsidRPr="006A5A2C" w:rsidRDefault="00C16EB1" w:rsidP="001A003E">
            <w:pPr>
              <w:pStyle w:val="NoSpacing"/>
              <w:jc w:val="lef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M</m:t>
                    </m:r>
                  </m:sub>
                </m:sSub>
              </m:oMath>
            </m:oMathPara>
          </w:p>
        </w:tc>
        <w:tc>
          <w:tcPr>
            <w:tcW w:w="0" w:type="auto"/>
          </w:tcPr>
          <w:p w14:paraId="7E49B0A8" w14:textId="421A4C06" w:rsidR="00936916" w:rsidRPr="00132F1B" w:rsidRDefault="00C16EB1" w:rsidP="001A003E">
            <w:pPr>
              <w:pStyle w:val="NoSpacing"/>
              <w:jc w:val="left"/>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F</m:t>
                        </m:r>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p</m:t>
                                    </m:r>
                                  </m:sub>
                                </m:sSub>
                              </m:e>
                            </m:d>
                          </m:e>
                        </m:d>
                        <m:r>
                          <m:rPr>
                            <m:sty m:val="p"/>
                          </m:rPr>
                          <w:rPr>
                            <w:rFonts w:ascii="Cambria Math" w:hAnsi="Cambria Math"/>
                          </w:rPr>
                          <m:t xml:space="preserve"> </m:t>
                        </m:r>
                        <m:r>
                          <m:rPr>
                            <m:nor/>
                          </m:rPr>
                          <m:t xml:space="preserve">pregnant </m:t>
                        </m:r>
                      </m:e>
                      <m:e>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F</m:t>
                        </m:r>
                        <m:r>
                          <m:rPr>
                            <m:sty m:val="p"/>
                          </m:rPr>
                          <w:rPr>
                            <w:rFonts w:ascii="Cambria Math" w:hAnsi="Cambria Math"/>
                          </w:rPr>
                          <m:t xml:space="preserve">                           </m:t>
                        </m:r>
                        <m:r>
                          <m:rPr>
                            <m:nor/>
                          </m:rPr>
                          <m:t>otherwise</m:t>
                        </m:r>
                      </m:e>
                    </m:eqArr>
                  </m:e>
                </m:d>
              </m:oMath>
            </m:oMathPara>
          </w:p>
        </w:tc>
        <w:tc>
          <w:tcPr>
            <w:tcW w:w="0" w:type="auto"/>
          </w:tcPr>
          <w:p w14:paraId="6C0B0781" w14:textId="59527123" w:rsidR="00936916" w:rsidRPr="00132F1B" w:rsidRDefault="006931BB" w:rsidP="001A003E">
            <w:pPr>
              <w:pStyle w:val="NoSpacing"/>
            </w:pPr>
            <w:r>
              <w:t>k</w:t>
            </w:r>
            <w:r w:rsidR="00936916" w:rsidRPr="00132F1B">
              <w:t>g</w:t>
            </w:r>
          </w:p>
        </w:tc>
      </w:tr>
      <w:tr w:rsidR="00BE165C" w:rsidRPr="00132F1B" w14:paraId="6CB751E2" w14:textId="77777777" w:rsidTr="001A003E">
        <w:trPr>
          <w:trHeight w:val="340"/>
        </w:trPr>
        <w:tc>
          <w:tcPr>
            <w:tcW w:w="0" w:type="auto"/>
            <w:tcBorders>
              <w:bottom w:val="single" w:sz="8" w:space="0" w:color="000000"/>
            </w:tcBorders>
            <w:vAlign w:val="center"/>
          </w:tcPr>
          <w:p w14:paraId="050526E9" w14:textId="4E67203D" w:rsidR="00BE165C" w:rsidRPr="00132F1B" w:rsidRDefault="00BE165C" w:rsidP="001A003E">
            <w:pPr>
              <w:pStyle w:val="NoSpacing"/>
              <w:jc w:val="left"/>
            </w:pPr>
            <w:r>
              <w:t>Body condition</w:t>
            </w:r>
          </w:p>
        </w:tc>
        <w:tc>
          <w:tcPr>
            <w:tcW w:w="0" w:type="auto"/>
            <w:tcBorders>
              <w:bottom w:val="single" w:sz="8" w:space="0" w:color="000000"/>
            </w:tcBorders>
            <w:vAlign w:val="center"/>
          </w:tcPr>
          <w:p w14:paraId="31B27E7B" w14:textId="21019ECB" w:rsidR="00BE165C" w:rsidRPr="00132F1B" w:rsidRDefault="00BE165C" w:rsidP="001A003E">
            <w:pPr>
              <w:pStyle w:val="NoSpacing"/>
              <w:jc w:val="both"/>
            </w:pPr>
            <w:r>
              <w:t>-</w:t>
            </w:r>
          </w:p>
        </w:tc>
        <w:tc>
          <w:tcPr>
            <w:tcW w:w="0" w:type="auto"/>
            <w:tcBorders>
              <w:bottom w:val="single" w:sz="8" w:space="0" w:color="000000"/>
            </w:tcBorders>
          </w:tcPr>
          <w:p w14:paraId="27AAF340" w14:textId="11C97245" w:rsidR="00BE165C" w:rsidRPr="00BE165C" w:rsidRDefault="00BE165C" w:rsidP="001A003E">
            <w:pPr>
              <w:pStyle w:val="NoSpacing"/>
              <w:jc w:val="left"/>
            </w:pPr>
            <m:oMathPara>
              <m:oMathParaPr>
                <m:jc m:val="left"/>
              </m:oMathParaPr>
              <m:oMath>
                <m:r>
                  <w:rPr>
                    <w:rFonts w:ascii="Cambria Math" w:hAnsi="Cambria Math"/>
                  </w:rPr>
                  <m:t>F</m:t>
                </m:r>
                <m:r>
                  <m:rPr>
                    <m:lit/>
                    <m:sty m:val="p"/>
                  </m:rPr>
                  <w:rPr>
                    <w:rFonts w:ascii="Cambria Math" w:hAnsi="Cambria Math"/>
                  </w:rPr>
                  <m:t>/</m:t>
                </m:r>
                <m:r>
                  <w:rPr>
                    <w:rFonts w:ascii="Cambria Math" w:hAnsi="Cambria Math"/>
                  </w:rPr>
                  <m:t>W</m:t>
                </m:r>
              </m:oMath>
            </m:oMathPara>
          </w:p>
        </w:tc>
        <w:tc>
          <w:tcPr>
            <w:tcW w:w="0" w:type="auto"/>
            <w:tcBorders>
              <w:bottom w:val="single" w:sz="8" w:space="0" w:color="000000"/>
            </w:tcBorders>
          </w:tcPr>
          <w:p w14:paraId="6442AB6D" w14:textId="598EF421" w:rsidR="00BE165C" w:rsidRPr="00132F1B" w:rsidRDefault="00BE165C" w:rsidP="001A003E">
            <w:pPr>
              <w:pStyle w:val="NoSpacing"/>
            </w:pPr>
            <w:r>
              <w:t>-</w:t>
            </w:r>
          </w:p>
        </w:tc>
      </w:tr>
    </w:tbl>
    <w:p w14:paraId="653215F6" w14:textId="53EBA610" w:rsidR="000047CD" w:rsidRPr="00002368" w:rsidRDefault="007C1D8B" w:rsidP="0082745D">
      <w:r w:rsidRPr="00002368">
        <w:t>Individual whales are composed of structural mass and reserve mass. Structure represents tissue that requires maintenance and cannot be used as energy store (e.g. bones and organs), while reserves can and require little or no maintenance</w:t>
      </w:r>
      <w:r w:rsidR="006120E1">
        <w:t xml:space="preserve"> </w:t>
      </w:r>
      <w:r w:rsidR="00890F9F">
        <w:fldChar w:fldCharType="begin"/>
      </w:r>
      <w:r w:rsidR="00AE7073">
        <w:instrText xml:space="preserve"> ADDIN ZOTERO_ITEM CSL_CITATION {"citationID":"wbORjxWh","properties":{"formattedCitation":"(Kooijman, 2009)","plainCitation":"(Kooijman, 2009)","noteIndex":0},"citationItems":[{"id":1910,"uris":["http://zotero.org/users/local/6qJKLD2C/items/3PHFC2UQ"],"uri":["http://zotero.org/users/local/6qJKLD2C/items/3PHFC2UQ"],"itemData":{"id":1910,"type":"book","edition":"3","event-place":"Cambridge","ISBN":"978-0-511-80540-0","language":"en","note":"DOI: 10.1017/CBO9780511805400","publisher":"Cambridge University Press","publisher-place":"Cambridge","source":"10.1017/CBO9780511805400","title":"Dynamic energy budget theory for metabolic organisation","URL":"http://ebooks.cambridge.org/ref/id/CBO9780511805400","author":[{"family":"Kooijman","given":"Bas"}],"accessed":{"date-parts":[["2020",5,6]]},"issued":{"date-parts":[["2009"]]}}}],"schema":"https://github.com/citation-style-language/schema/raw/master/csl-citation.json"} </w:instrText>
      </w:r>
      <w:r w:rsidR="00890F9F">
        <w:fldChar w:fldCharType="separate"/>
      </w:r>
      <w:r w:rsidR="00890F9F">
        <w:rPr>
          <w:noProof/>
        </w:rPr>
        <w:t>(Kooijman, 2009)</w:t>
      </w:r>
      <w:r w:rsidR="00890F9F">
        <w:fldChar w:fldCharType="end"/>
      </w:r>
      <w:r w:rsidRPr="00002368">
        <w:t xml:space="preserve">. </w:t>
      </w:r>
      <w:r w:rsidR="00385DF1" w:rsidRPr="00002368">
        <w:t xml:space="preserve">Structural length </w:t>
      </w:r>
      <w:r w:rsidR="006325A4" w:rsidRPr="00002368">
        <w:t xml:space="preserve">of free-living individuals </w:t>
      </w:r>
      <w:r w:rsidR="00385DF1" w:rsidRPr="00002368">
        <w:t>is a fixed Von Bertalanffy function of age (Table S1)</w:t>
      </w:r>
      <w:r w:rsidR="005517F2">
        <w:t xml:space="preserve"> with parameters length at birth (</w:t>
      </w:r>
      <m:oMath>
        <m:sSub>
          <m:sSubPr>
            <m:ctrlPr>
              <w:rPr>
                <w:rFonts w:ascii="Cambria Math" w:hAnsi="Cambria Math"/>
                <w:i/>
              </w:rPr>
            </m:ctrlPr>
          </m:sSubPr>
          <m:e>
            <m:r>
              <w:rPr>
                <w:rFonts w:ascii="Cambria Math" w:hAnsi="Cambria Math"/>
              </w:rPr>
              <m:t>l</m:t>
            </m:r>
          </m:e>
          <m:sub>
            <m:r>
              <w:rPr>
                <w:rFonts w:ascii="Cambria Math" w:hAnsi="Cambria Math"/>
              </w:rPr>
              <m:t>b</m:t>
            </m:r>
          </m:sub>
        </m:sSub>
      </m:oMath>
      <w:r w:rsidR="005517F2">
        <w:t>), asymptotic length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5517F2">
        <w:t xml:space="preserve">) and Von Bertalanffy growth constant </w:t>
      </w:r>
      <m:oMath>
        <m:r>
          <w:rPr>
            <w:rFonts w:ascii="Cambria Math" w:hAnsi="Cambria Math"/>
          </w:rPr>
          <m:t>k</m:t>
        </m:r>
      </m:oMath>
      <w:r w:rsidR="009A0060">
        <w:rPr>
          <w:rFonts w:eastAsiaTheme="minorEastAsia"/>
        </w:rPr>
        <w:t>.</w:t>
      </w:r>
      <w:r w:rsidR="00390435">
        <w:rPr>
          <w:rFonts w:eastAsiaTheme="minorEastAsia"/>
        </w:rPr>
        <w:t xml:space="preserve"> </w:t>
      </w:r>
      <w:r w:rsidR="00390435">
        <w:t>We do not consider sexual dimorphism in structural size for the two beaked whale species.</w:t>
      </w:r>
      <w:r w:rsidR="009A0060">
        <w:rPr>
          <w:rFonts w:eastAsiaTheme="minorEastAsia"/>
        </w:rPr>
        <w:t xml:space="preserve"> </w:t>
      </w:r>
      <w:r w:rsidR="009A0060">
        <w:t xml:space="preserve">Growth in structural size is non-plastic: growth rate and asymptotic size do not vary with rate of energy assimilation. </w:t>
      </w:r>
      <w:r w:rsidR="00F91A6D" w:rsidRPr="00002368">
        <w:t>Therefore, t</w:t>
      </w:r>
      <w:r w:rsidR="00183795" w:rsidRPr="00002368">
        <w:t xml:space="preserve">his </w:t>
      </w:r>
      <w:r w:rsidR="00F91A6D" w:rsidRPr="00002368">
        <w:t xml:space="preserve">energy budget model </w:t>
      </w:r>
      <w:r w:rsidR="00183795" w:rsidRPr="00002368">
        <w:t>describes demand-driven growth</w:t>
      </w:r>
      <w:r w:rsidR="00F91A6D" w:rsidRPr="00002368">
        <w:t xml:space="preserve">, which was assumed more appropriate for mammals than the supply-driven </w:t>
      </w:r>
      <w:r w:rsidR="003D595A" w:rsidRPr="00002368">
        <w:t>Dynamics Energy Budget</w:t>
      </w:r>
      <w:r w:rsidR="00002CB6" w:rsidRPr="00002368">
        <w:t xml:space="preserve"> (DEB)</w:t>
      </w:r>
      <w:r w:rsidR="00F91A6D" w:rsidRPr="00002368">
        <w:t xml:space="preserve"> </w:t>
      </w:r>
      <w:r w:rsidR="003D595A" w:rsidRPr="00002368">
        <w:t xml:space="preserve">formulation </w:t>
      </w:r>
      <w:r w:rsidR="00F91A6D" w:rsidRPr="00002368">
        <w:t>of</w:t>
      </w:r>
      <w:r w:rsidR="00890F9F">
        <w:t xml:space="preserve"> </w:t>
      </w:r>
      <w:proofErr w:type="spellStart"/>
      <w:r w:rsidR="00681A82">
        <w:t>Kooijman</w:t>
      </w:r>
      <w:proofErr w:type="spellEnd"/>
      <w:r w:rsidR="00681A82">
        <w:t xml:space="preserve"> </w:t>
      </w:r>
      <w:r w:rsidR="00890F9F">
        <w:fldChar w:fldCharType="begin"/>
      </w:r>
      <w:r w:rsidR="00681A82">
        <w:instrText xml:space="preserve"> ADDIN ZOTERO_ITEM CSL_CITATION {"citationID":"DZ7YqnAx","properties":{"formattedCitation":"(2009)","plainCitation":"(2009)","noteIndex":0},"citationItems":[{"id":1910,"uris":["http://zotero.org/users/local/6qJKLD2C/items/3PHFC2UQ"],"uri":["http://zotero.org/users/local/6qJKLD2C/items/3PHFC2UQ"],"itemData":{"id":1910,"type":"book","edition":"3","event-place":"Cambridge","ISBN":"978-0-511-80540-0","language":"en","note":"DOI: 10.1017/CBO9780511805400","publisher":"Cambridge University Press","publisher-place":"Cambridge","source":"10.1017/CBO9780511805400","title":"Dynamic energy budget theory for metabolic organisation","URL":"http://ebooks.cambridge.org/ref/id/CBO9780511805400","author":[{"family":"Kooijman","given":"Bas"}],"accessed":{"date-parts":[["2020",5,6]]},"issued":{"date-parts":[["2009"]]}},"suppress-author":true}],"schema":"https://github.com/citation-style-language/schema/raw/master/csl-citation.json"} </w:instrText>
      </w:r>
      <w:r w:rsidR="00890F9F">
        <w:fldChar w:fldCharType="separate"/>
      </w:r>
      <w:r w:rsidR="00681A82">
        <w:rPr>
          <w:noProof/>
        </w:rPr>
        <w:t>(2009)</w:t>
      </w:r>
      <w:r w:rsidR="00890F9F">
        <w:fldChar w:fldCharType="end"/>
      </w:r>
      <w:r w:rsidR="00F91A6D" w:rsidRPr="00002368">
        <w:t xml:space="preserve">. </w:t>
      </w:r>
      <w:r w:rsidR="006853A6" w:rsidRPr="00002368">
        <w:t>Demand-driven growth implies that rates of energy expenditure are</w:t>
      </w:r>
      <w:r w:rsidR="00183795" w:rsidRPr="00002368">
        <w:t xml:space="preserve"> </w:t>
      </w:r>
      <w:r w:rsidR="006853A6" w:rsidRPr="00002368">
        <w:t xml:space="preserve">independent </w:t>
      </w:r>
      <w:r w:rsidR="00183795" w:rsidRPr="00002368">
        <w:t>of the energy acquired from feeding</w:t>
      </w:r>
      <w:r w:rsidR="006853A6" w:rsidRPr="00002368">
        <w:t xml:space="preserve">, because growth rate does not depend on energy intake. </w:t>
      </w:r>
      <w:r w:rsidR="00183795" w:rsidRPr="00002368">
        <w:t xml:space="preserve">Instead, individuals </w:t>
      </w:r>
      <w:r w:rsidR="00163663" w:rsidRPr="00002368">
        <w:t xml:space="preserve">regulate their </w:t>
      </w:r>
      <w:r w:rsidR="00183795" w:rsidRPr="00002368">
        <w:t xml:space="preserve">body </w:t>
      </w:r>
      <w:r w:rsidR="00AD1F22">
        <w:t>condition</w:t>
      </w:r>
      <w:r w:rsidR="00163663" w:rsidRPr="00002368">
        <w:t xml:space="preserve"> (</w:t>
      </w:r>
      <w:r w:rsidR="00AD1F22">
        <w:t xml:space="preserve">fraction of </w:t>
      </w:r>
      <w:r w:rsidR="00163663" w:rsidRPr="00002368">
        <w:t>reserves</w:t>
      </w:r>
      <w:r w:rsidR="00AD1F22">
        <w:t xml:space="preserve"> to total mass</w:t>
      </w:r>
      <w:r w:rsidR="00163663" w:rsidRPr="00002368">
        <w:t xml:space="preserve">) </w:t>
      </w:r>
      <w:r w:rsidR="00183795" w:rsidRPr="00002368">
        <w:t>by adjusting their feeding effort</w:t>
      </w:r>
      <w:r w:rsidR="00163663" w:rsidRPr="00002368">
        <w:t xml:space="preserve"> (see below).</w:t>
      </w:r>
      <w:r w:rsidR="006325A4" w:rsidRPr="00002368">
        <w:t xml:space="preserve"> For fetuses, structural length is a linear function of time since conception (</w:t>
      </w:r>
      <m:oMath>
        <m:sSub>
          <m:sSubPr>
            <m:ctrlPr>
              <w:rPr>
                <w:rFonts w:ascii="Cambria Math" w:hAnsi="Cambria Math"/>
              </w:rPr>
            </m:ctrlPr>
          </m:sSubPr>
          <m:e>
            <m:r>
              <w:rPr>
                <w:rFonts w:ascii="Cambria Math" w:hAnsi="Cambria Math"/>
              </w:rPr>
              <m:t>τ</m:t>
            </m:r>
          </m:e>
          <m:sub>
            <m:r>
              <w:rPr>
                <w:rFonts w:ascii="Cambria Math" w:hAnsi="Cambria Math"/>
              </w:rPr>
              <m:t>p</m:t>
            </m:r>
          </m:sub>
        </m:sSub>
      </m:oMath>
      <w:r w:rsidR="006325A4" w:rsidRPr="00002368">
        <w:t>).</w:t>
      </w:r>
      <w:r w:rsidR="00163663" w:rsidRPr="00002368">
        <w:t xml:space="preserve"> </w:t>
      </w:r>
      <w:r w:rsidR="00BC72CC" w:rsidRPr="00002368">
        <w:t xml:space="preserve">Structural mass is directly related to structural length through a </w:t>
      </w:r>
      <w:r w:rsidR="0009484C">
        <w:t xml:space="preserve">length-weight relationship </w:t>
      </w:r>
      <w:r w:rsidR="00BC72CC" w:rsidRPr="00002368">
        <w:t xml:space="preserve">and is therefore a fixed function of age too. </w:t>
      </w:r>
      <w:r w:rsidR="00043F76" w:rsidRPr="00002368">
        <w:t xml:space="preserve">Total body </w:t>
      </w:r>
      <w:r w:rsidR="00F932A7" w:rsidRPr="00002368">
        <w:t>mass equals the sum of structural mass and reserve mass</w:t>
      </w:r>
      <w:r w:rsidR="00473487" w:rsidRPr="00002368">
        <w:t xml:space="preserve"> and include</w:t>
      </w:r>
      <w:r w:rsidR="0077224D" w:rsidRPr="00002368">
        <w:t>s</w:t>
      </w:r>
      <w:r w:rsidR="00473487" w:rsidRPr="00002368">
        <w:t xml:space="preserve"> structural </w:t>
      </w:r>
      <w:r w:rsidR="00473487" w:rsidRPr="00002368">
        <w:lastRenderedPageBreak/>
        <w:t xml:space="preserve">mass of any fetus. </w:t>
      </w:r>
      <w:r w:rsidR="00644241" w:rsidRPr="00002368">
        <w:t xml:space="preserve">Maintenance body mass is a weighted measure of body mass </w:t>
      </w:r>
      <w:r w:rsidR="00BB10A6">
        <w:t>that</w:t>
      </w:r>
      <w:r w:rsidR="00644241" w:rsidRPr="00002368">
        <w:t xml:space="preserve"> discounts the mass-specific contribution of reserve mass to metabolic rate </w:t>
      </w:r>
      <w:r w:rsidR="00F5238A" w:rsidRPr="00002368">
        <w:t xml:space="preserve">through </w:t>
      </w:r>
      <w:r w:rsidR="00644241" w:rsidRPr="00002368">
        <w:t xml:space="preserve">parameter </w:t>
      </w:r>
      <m:oMath>
        <m:sSub>
          <m:sSubPr>
            <m:ctrlPr>
              <w:rPr>
                <w:rFonts w:ascii="Cambria Math" w:hAnsi="Cambria Math"/>
              </w:rPr>
            </m:ctrlPr>
          </m:sSubPr>
          <m:e>
            <m:r>
              <w:rPr>
                <w:rFonts w:ascii="Cambria Math" w:hAnsi="Cambria Math"/>
              </w:rPr>
              <m:t>θ</m:t>
            </m:r>
          </m:e>
          <m:sub>
            <m:r>
              <w:rPr>
                <w:rFonts w:ascii="Cambria Math" w:hAnsi="Cambria Math"/>
              </w:rPr>
              <m:t>F</m:t>
            </m:r>
          </m:sub>
        </m:sSub>
      </m:oMath>
      <w:r w:rsidR="00084D61">
        <w:rPr>
          <w:rFonts w:eastAsiaTheme="minorEastAsia"/>
        </w:rPr>
        <w:t xml:space="preserve"> (Table S1)</w:t>
      </w:r>
      <w:r w:rsidR="00644241" w:rsidRPr="00002368">
        <w:t>.</w:t>
      </w:r>
    </w:p>
    <w:p w14:paraId="40357D1C" w14:textId="3F316DA1" w:rsidR="007C1D8B" w:rsidRDefault="007C1D8B" w:rsidP="0082745D">
      <w:r>
        <w:t>Energy acquisition from prey feeding (</w:t>
      </w:r>
      <w:r w:rsidRPr="00083F4C">
        <w:rPr>
          <w:i/>
          <w:iCs/>
        </w:rPr>
        <w:t>I</w:t>
      </w:r>
      <w:r w:rsidRPr="00083F4C">
        <w:rPr>
          <w:i/>
          <w:iCs/>
          <w:vertAlign w:val="subscript"/>
        </w:rPr>
        <w:t>R</w:t>
      </w:r>
      <w:r>
        <w:t>) and milk suckling (</w:t>
      </w:r>
      <w:r w:rsidRPr="00CB1D69">
        <w:rPr>
          <w:i/>
          <w:iCs/>
        </w:rPr>
        <w:t>I</w:t>
      </w:r>
      <w:r w:rsidRPr="00CB1D69">
        <w:rPr>
          <w:i/>
          <w:iCs/>
          <w:vertAlign w:val="subscript"/>
        </w:rPr>
        <w:t>L</w:t>
      </w:r>
      <w:r>
        <w:t xml:space="preserve">) </w:t>
      </w:r>
      <w:r w:rsidR="009D1A50">
        <w:t xml:space="preserve">are </w:t>
      </w:r>
      <w:r>
        <w:t>directly used to cover all energetic costs.</w:t>
      </w:r>
      <w:r w:rsidR="002E3DDA">
        <w:t xml:space="preserve"> All individuals spend energy on maintenance costs (</w:t>
      </w:r>
      <w:r w:rsidR="002E3DDA">
        <w:rPr>
          <w:i/>
          <w:iCs/>
        </w:rPr>
        <w:t>C</w:t>
      </w:r>
      <w:r w:rsidR="002E3DDA" w:rsidRPr="002E3DDA">
        <w:rPr>
          <w:i/>
          <w:iCs/>
          <w:vertAlign w:val="subscript"/>
        </w:rPr>
        <w:t>M</w:t>
      </w:r>
      <w:r w:rsidR="002E3DDA">
        <w:t>) and growth (</w:t>
      </w:r>
      <w:r w:rsidR="002E3DDA" w:rsidRPr="002E3DDA">
        <w:rPr>
          <w:i/>
          <w:iCs/>
        </w:rPr>
        <w:t>C</w:t>
      </w:r>
      <w:r w:rsidR="002E3DDA" w:rsidRPr="002E3DDA">
        <w:rPr>
          <w:i/>
          <w:iCs/>
          <w:vertAlign w:val="subscript"/>
        </w:rPr>
        <w:t>G</w:t>
      </w:r>
      <w:r w:rsidR="002E3DDA">
        <w:t>). Gestation (</w:t>
      </w:r>
      <w:r w:rsidR="002E3DDA" w:rsidRPr="002E3DDA">
        <w:rPr>
          <w:i/>
          <w:iCs/>
        </w:rPr>
        <w:t>C</w:t>
      </w:r>
      <w:r w:rsidR="002E3DDA" w:rsidRPr="002E3DDA">
        <w:rPr>
          <w:i/>
          <w:iCs/>
          <w:vertAlign w:val="subscript"/>
        </w:rPr>
        <w:t>p</w:t>
      </w:r>
      <w:r w:rsidR="002E3DDA">
        <w:t>) and lactation (</w:t>
      </w:r>
      <w:r w:rsidR="002E3DDA" w:rsidRPr="002E3DDA">
        <w:rPr>
          <w:i/>
          <w:iCs/>
        </w:rPr>
        <w:t>C</w:t>
      </w:r>
      <w:r w:rsidR="002E3DDA" w:rsidRPr="002E3DDA">
        <w:rPr>
          <w:i/>
          <w:iCs/>
          <w:vertAlign w:val="subscript"/>
        </w:rPr>
        <w:t>L</w:t>
      </w:r>
      <w:r w:rsidR="002E3DDA">
        <w:t>) costs are paid by, respectively, pregnant and lactating females only.</w:t>
      </w:r>
      <w:r w:rsidR="004F4E90">
        <w:t xml:space="preserve"> Females can be simultaneously pregnant and lactating.</w:t>
      </w:r>
      <w:r w:rsidR="002E3DDA">
        <w:t xml:space="preserve"> </w:t>
      </w:r>
      <w:r>
        <w:t xml:space="preserve">If energy acquisition is insufficient to cover </w:t>
      </w:r>
      <w:r w:rsidR="00700465">
        <w:t xml:space="preserve">all </w:t>
      </w:r>
      <w:r>
        <w:t>energy expenditure</w:t>
      </w:r>
      <w:r w:rsidR="00700465">
        <w:t>s</w:t>
      </w:r>
      <w:r>
        <w:t>, additional energy is made available by catabolizing reserves.</w:t>
      </w:r>
      <w:r w:rsidR="007A5E77">
        <w:t xml:space="preserve"> Vice versa, if energy intake exceeds energy expenditure, the surplus energy is stored as reserves (anabolism). </w:t>
      </w:r>
      <w:r>
        <w:t xml:space="preserve">Consequently, </w:t>
      </w:r>
      <w:r w:rsidR="00B20AB9">
        <w:t>dynamics</w:t>
      </w:r>
      <w:r>
        <w:t xml:space="preserve"> </w:t>
      </w:r>
      <w:r w:rsidR="00B20AB9">
        <w:t xml:space="preserve">of </w:t>
      </w:r>
      <w:r>
        <w:t xml:space="preserve">reserve mass </w:t>
      </w:r>
      <w:r w:rsidR="00716703">
        <w:t>(</w:t>
      </w:r>
      <w:proofErr w:type="spellStart"/>
      <w:r w:rsidR="00716703">
        <w:t>d</w:t>
      </w:r>
      <w:r w:rsidR="00716703" w:rsidRPr="009A50B7">
        <w:rPr>
          <w:i/>
          <w:iCs/>
        </w:rPr>
        <w:t>F</w:t>
      </w:r>
      <w:proofErr w:type="spellEnd"/>
      <w:r w:rsidR="00716703">
        <w:t>/d</w:t>
      </w:r>
      <w:r w:rsidR="00716703" w:rsidRPr="009A50B7">
        <w:rPr>
          <w:i/>
          <w:iCs/>
        </w:rPr>
        <w:t>a</w:t>
      </w:r>
      <w:r w:rsidR="00716703">
        <w:t>)</w:t>
      </w:r>
      <w:r>
        <w:t xml:space="preserve"> depend on the </w:t>
      </w:r>
      <w:r w:rsidR="007A5E77">
        <w:t xml:space="preserve">rates of energy intake and expenditure, which in turn depend on the </w:t>
      </w:r>
      <w:r>
        <w:t>reproductive status of an individual:</w:t>
      </w:r>
    </w:p>
    <w:tbl>
      <w:tblPr>
        <w:tblW w:w="9106" w:type="dxa"/>
        <w:tblInd w:w="108" w:type="dxa"/>
        <w:shd w:val="clear" w:color="auto" w:fill="CDD4E9"/>
        <w:tblLayout w:type="fixed"/>
        <w:tblLook w:val="04A0" w:firstRow="1" w:lastRow="0" w:firstColumn="1" w:lastColumn="0" w:noHBand="0" w:noVBand="1"/>
      </w:tblPr>
      <w:tblGrid>
        <w:gridCol w:w="8256"/>
        <w:gridCol w:w="850"/>
      </w:tblGrid>
      <w:tr w:rsidR="00E97362" w:rsidRPr="00FC280B" w14:paraId="0141DDA4" w14:textId="77777777" w:rsidTr="00E97362">
        <w:trPr>
          <w:trHeight w:val="1288"/>
        </w:trPr>
        <w:tc>
          <w:tcPr>
            <w:tcW w:w="8256" w:type="dxa"/>
            <w:shd w:val="clear" w:color="auto" w:fill="auto"/>
            <w:tcMar>
              <w:top w:w="80" w:type="dxa"/>
              <w:left w:w="80" w:type="dxa"/>
              <w:bottom w:w="80" w:type="dxa"/>
              <w:right w:w="80" w:type="dxa"/>
            </w:tcMar>
          </w:tcPr>
          <w:p w14:paraId="54FA5F8F" w14:textId="77777777" w:rsidR="00C13A83" w:rsidRPr="00E33755" w:rsidRDefault="00C16EB1" w:rsidP="00DD3F6A">
            <w:pPr>
              <w:pStyle w:val="BodyText"/>
              <w:spacing w:after="0" w:line="240" w:lineRule="auto"/>
              <w:jc w:val="center"/>
              <w:rPr>
                <w:rFonts w:ascii="Cambria Math" w:hAnsi="Cambria Math" w:cs="Times New Roman"/>
                <w:sz w:val="22"/>
                <w:szCs w:val="22"/>
                <w:oMath/>
              </w:rPr>
            </w:pPr>
            <m:oMathPara>
              <m:oMath>
                <m:f>
                  <m:fPr>
                    <m:ctrlPr>
                      <w:rPr>
                        <w:rFonts w:ascii="Cambria Math" w:hAnsi="Cambria Math" w:cs="Times New Roman"/>
                        <w:sz w:val="22"/>
                        <w:szCs w:val="22"/>
                      </w:rPr>
                    </m:ctrlPr>
                  </m:fPr>
                  <m:num>
                    <m:r>
                      <w:rPr>
                        <w:rFonts w:ascii="Cambria Math" w:hAnsi="Cambria Math" w:cs="Times New Roman"/>
                        <w:sz w:val="22"/>
                        <w:szCs w:val="22"/>
                      </w:rPr>
                      <m:t>dF</m:t>
                    </m:r>
                  </m:num>
                  <m:den>
                    <m:r>
                      <w:rPr>
                        <w:rFonts w:ascii="Cambria Math" w:hAnsi="Cambria Math" w:cs="Times New Roman"/>
                        <w:sz w:val="22"/>
                        <w:szCs w:val="22"/>
                      </w:rPr>
                      <m:t>da</m:t>
                    </m:r>
                  </m:den>
                </m:f>
                <m:r>
                  <m:rPr>
                    <m:sty m:val="p"/>
                  </m:rPr>
                  <w:rPr>
                    <w:rFonts w:ascii="Cambria Math" w:hAnsi="Cambria Math" w:cs="Times New Roman"/>
                    <w:sz w:val="22"/>
                    <w:szCs w:val="22"/>
                  </w:rPr>
                  <m:t> =</m:t>
                </m:r>
                <m:d>
                  <m:dPr>
                    <m:begChr m:val="{"/>
                    <m:endChr m:val=""/>
                    <m:ctrlPr>
                      <w:rPr>
                        <w:rFonts w:ascii="Cambria Math" w:hAnsi="Cambria Math" w:cs="Times New Roman"/>
                        <w:sz w:val="22"/>
                        <w:szCs w:val="22"/>
                      </w:rPr>
                    </m:ctrlPr>
                  </m:dPr>
                  <m:e>
                    <m:m>
                      <m:mPr>
                        <m:mcs>
                          <m:mc>
                            <m:mcPr>
                              <m:count m:val="2"/>
                              <m:mcJc m:val="left"/>
                            </m:mcPr>
                          </m:mc>
                        </m:mcs>
                        <m:ctrlPr>
                          <w:rPr>
                            <w:rFonts w:ascii="Cambria Math" w:hAnsi="Cambria Math" w:cs="Times New Roman"/>
                            <w:sz w:val="22"/>
                            <w:szCs w:val="22"/>
                          </w:rPr>
                        </m:ctrlPr>
                      </m:mPr>
                      <m:mr>
                        <m:e>
                          <m:sSubSup>
                            <m:sSubSupPr>
                              <m:ctrlPr>
                                <w:rPr>
                                  <w:rFonts w:ascii="Cambria Math" w:hAnsi="Cambria Math" w:cs="Times New Roman"/>
                                  <w:sz w:val="22"/>
                                  <w:szCs w:val="22"/>
                                </w:rPr>
                              </m:ctrlPr>
                            </m:sSubSupPr>
                            <m:e>
                              <m:r>
                                <w:rPr>
                                  <w:rFonts w:ascii="Cambria Math" w:hAnsi="Cambria Math" w:cs="Times New Roman"/>
                                  <w:sz w:val="22"/>
                                  <w:szCs w:val="22"/>
                                </w:rPr>
                                <m:t>ε</m:t>
                              </m:r>
                            </m:e>
                            <m:sub>
                              <m:r>
                                <w:rPr>
                                  <w:rFonts w:ascii="Cambria Math" w:hAnsi="Cambria Math" w:cs="Times New Roman"/>
                                  <w:sz w:val="22"/>
                                  <w:szCs w:val="22"/>
                                </w:rPr>
                                <m:t>i</m:t>
                              </m:r>
                            </m:sub>
                            <m:sup>
                              <m:r>
                                <m:rPr>
                                  <m:sty m:val="p"/>
                                </m:rPr>
                                <w:rPr>
                                  <w:rFonts w:ascii="Cambria Math" w:hAnsi="Cambria Math" w:cs="Times New Roman"/>
                                  <w:sz w:val="22"/>
                                  <w:szCs w:val="22"/>
                                </w:rPr>
                                <m:t>-1</m:t>
                              </m:r>
                            </m:sup>
                          </m:sSubSup>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I</m:t>
                                  </m:r>
                                </m:e>
                                <m:sub>
                                  <m:r>
                                    <w:rPr>
                                      <w:rFonts w:ascii="Cambria Math" w:hAnsi="Cambria Math" w:cs="Times New Roman"/>
                                      <w:sz w:val="22"/>
                                      <w:szCs w:val="22"/>
                                    </w:rPr>
                                    <m:t>R</m:t>
                                  </m:r>
                                </m:sub>
                              </m:sSub>
                              <m:r>
                                <m:rPr>
                                  <m:sty m:val="p"/>
                                </m:rPr>
                                <w:rPr>
                                  <w:rFonts w:ascii="Cambria Math" w:hAnsi="Cambria Math" w:cs="Times New Roman"/>
                                  <w:sz w:val="22"/>
                                  <w:szCs w:val="22"/>
                                </w:rPr>
                                <m:t>+</m:t>
                              </m:r>
                              <m:sSub>
                                <m:sSubPr>
                                  <m:ctrlPr>
                                    <w:rPr>
                                      <w:rFonts w:ascii="Cambria Math" w:eastAsia="Cambria" w:hAnsi="Cambria Math" w:cs="Times New Roman"/>
                                      <w:sz w:val="22"/>
                                      <w:szCs w:val="22"/>
                                    </w:rPr>
                                  </m:ctrlPr>
                                </m:sSubPr>
                                <m:e>
                                  <m:r>
                                    <w:rPr>
                                      <w:rFonts w:ascii="Cambria Math" w:eastAsia="Cambria" w:hAnsi="Cambria Math" w:cs="Times New Roman"/>
                                      <w:sz w:val="22"/>
                                      <w:szCs w:val="22"/>
                                    </w:rPr>
                                    <m:t>I</m:t>
                                  </m:r>
                                </m:e>
                                <m:sub>
                                  <m:r>
                                    <w:rPr>
                                      <w:rFonts w:ascii="Cambria Math" w:eastAsia="Cambria" w:hAnsi="Cambria Math" w:cs="Times New Roman"/>
                                      <w:sz w:val="22"/>
                                      <w:szCs w:val="22"/>
                                    </w:rPr>
                                    <m:t>L</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G</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M</m:t>
                                  </m:r>
                                </m:sub>
                              </m:sSub>
                            </m:e>
                          </m:d>
                        </m:e>
                        <m:e>
                          <m:r>
                            <m:rPr>
                              <m:nor/>
                            </m:rPr>
                            <w:rPr>
                              <w:rFonts w:ascii="Arial" w:hAnsi="Arial" w:cs="Arial"/>
                              <w:sz w:val="22"/>
                              <w:szCs w:val="22"/>
                            </w:rPr>
                            <m:t>Calves</m:t>
                          </m:r>
                        </m:e>
                      </m:mr>
                      <m:mr>
                        <m:e>
                          <m:sSubSup>
                            <m:sSubSupPr>
                              <m:ctrlPr>
                                <w:rPr>
                                  <w:rFonts w:ascii="Cambria Math" w:hAnsi="Cambria Math" w:cs="Times New Roman"/>
                                  <w:sz w:val="22"/>
                                  <w:szCs w:val="22"/>
                                </w:rPr>
                              </m:ctrlPr>
                            </m:sSubSupPr>
                            <m:e>
                              <m:r>
                                <w:rPr>
                                  <w:rFonts w:ascii="Cambria Math" w:hAnsi="Cambria Math" w:cs="Times New Roman"/>
                                  <w:sz w:val="22"/>
                                  <w:szCs w:val="22"/>
                                </w:rPr>
                                <m:t>ε</m:t>
                              </m:r>
                            </m:e>
                            <m:sub>
                              <m:r>
                                <w:rPr>
                                  <w:rFonts w:ascii="Cambria Math" w:hAnsi="Cambria Math" w:cs="Times New Roman"/>
                                  <w:sz w:val="22"/>
                                  <w:szCs w:val="22"/>
                                </w:rPr>
                                <m:t>i</m:t>
                              </m:r>
                            </m:sub>
                            <m:sup>
                              <m:r>
                                <m:rPr>
                                  <m:sty m:val="p"/>
                                </m:rPr>
                                <w:rPr>
                                  <w:rFonts w:ascii="Cambria Math" w:hAnsi="Cambria Math" w:cs="Times New Roman"/>
                                  <w:sz w:val="22"/>
                                  <w:szCs w:val="22"/>
                                </w:rPr>
                                <m:t>-1</m:t>
                              </m:r>
                            </m:sup>
                          </m:sSubSup>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I</m:t>
                                  </m:r>
                                </m:e>
                                <m:sub>
                                  <m:r>
                                    <w:rPr>
                                      <w:rFonts w:ascii="Cambria Math" w:hAnsi="Cambria Math" w:cs="Times New Roman"/>
                                      <w:sz w:val="22"/>
                                      <w:szCs w:val="22"/>
                                    </w:rPr>
                                    <m:t>R</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G</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M</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P</m:t>
                                  </m:r>
                                </m:sub>
                              </m:sSub>
                            </m:e>
                          </m:d>
                        </m:e>
                        <m:e>
                          <m:r>
                            <m:rPr>
                              <m:nor/>
                            </m:rPr>
                            <w:rPr>
                              <w:rFonts w:ascii="Arial" w:hAnsi="Arial" w:cs="Arial"/>
                              <w:sz w:val="22"/>
                              <w:szCs w:val="22"/>
                            </w:rPr>
                            <m:t>Pregnant female</m:t>
                          </m:r>
                        </m:e>
                      </m:mr>
                      <m:mr>
                        <m:e>
                          <m:sSubSup>
                            <m:sSubSupPr>
                              <m:ctrlPr>
                                <w:rPr>
                                  <w:rFonts w:ascii="Cambria Math" w:hAnsi="Cambria Math" w:cs="Times New Roman"/>
                                  <w:sz w:val="22"/>
                                  <w:szCs w:val="22"/>
                                </w:rPr>
                              </m:ctrlPr>
                            </m:sSubSupPr>
                            <m:e>
                              <m:r>
                                <w:rPr>
                                  <w:rFonts w:ascii="Cambria Math" w:hAnsi="Cambria Math" w:cs="Times New Roman"/>
                                  <w:sz w:val="22"/>
                                  <w:szCs w:val="22"/>
                                </w:rPr>
                                <m:t>ε</m:t>
                              </m:r>
                            </m:e>
                            <m:sub>
                              <m:r>
                                <w:rPr>
                                  <w:rFonts w:ascii="Cambria Math" w:hAnsi="Cambria Math" w:cs="Times New Roman"/>
                                  <w:sz w:val="22"/>
                                  <w:szCs w:val="22"/>
                                </w:rPr>
                                <m:t>i</m:t>
                              </m:r>
                            </m:sub>
                            <m:sup>
                              <m:r>
                                <m:rPr>
                                  <m:sty m:val="p"/>
                                </m:rPr>
                                <w:rPr>
                                  <w:rFonts w:ascii="Cambria Math" w:hAnsi="Cambria Math" w:cs="Times New Roman"/>
                                  <w:sz w:val="22"/>
                                  <w:szCs w:val="22"/>
                                </w:rPr>
                                <m:t>-1</m:t>
                              </m:r>
                            </m:sup>
                          </m:sSubSup>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I</m:t>
                                  </m:r>
                                </m:e>
                                <m:sub>
                                  <m:r>
                                    <w:rPr>
                                      <w:rFonts w:ascii="Cambria Math" w:hAnsi="Cambria Math" w:cs="Times New Roman"/>
                                      <w:sz w:val="22"/>
                                      <w:szCs w:val="22"/>
                                    </w:rPr>
                                    <m:t>R</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G</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M</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L</m:t>
                                  </m:r>
                                </m:sub>
                              </m:sSub>
                            </m:e>
                          </m:d>
                          <m:r>
                            <m:rPr>
                              <m:sty m:val="p"/>
                            </m:rPr>
                            <w:rPr>
                              <w:rFonts w:ascii="Cambria Math" w:hAnsi="Cambria Math" w:cs="Times New Roman"/>
                              <w:sz w:val="22"/>
                              <w:szCs w:val="22"/>
                            </w:rPr>
                            <m:t> </m:t>
                          </m:r>
                        </m:e>
                        <m:e>
                          <m:r>
                            <m:rPr>
                              <m:nor/>
                            </m:rPr>
                            <w:rPr>
                              <w:rFonts w:ascii="Arial" w:hAnsi="Arial" w:cs="Arial"/>
                              <w:sz w:val="22"/>
                              <w:szCs w:val="22"/>
                            </w:rPr>
                            <m:t>Lactating female</m:t>
                          </m:r>
                        </m:e>
                      </m:mr>
                      <m:mr>
                        <m:e>
                          <m:sSubSup>
                            <m:sSubSupPr>
                              <m:ctrlPr>
                                <w:rPr>
                                  <w:rFonts w:ascii="Cambria Math" w:hAnsi="Cambria Math" w:cs="Times New Roman"/>
                                  <w:sz w:val="22"/>
                                  <w:szCs w:val="22"/>
                                </w:rPr>
                              </m:ctrlPr>
                            </m:sSubSupPr>
                            <m:e>
                              <m:r>
                                <w:rPr>
                                  <w:rFonts w:ascii="Cambria Math" w:hAnsi="Cambria Math" w:cs="Times New Roman"/>
                                  <w:sz w:val="22"/>
                                  <w:szCs w:val="22"/>
                                </w:rPr>
                                <m:t>ε</m:t>
                              </m:r>
                            </m:e>
                            <m:sub>
                              <m:r>
                                <w:rPr>
                                  <w:rFonts w:ascii="Cambria Math" w:hAnsi="Cambria Math" w:cs="Times New Roman"/>
                                  <w:sz w:val="22"/>
                                  <w:szCs w:val="22"/>
                                </w:rPr>
                                <m:t>i</m:t>
                              </m:r>
                            </m:sub>
                            <m:sup>
                              <m:r>
                                <m:rPr>
                                  <m:sty m:val="p"/>
                                </m:rPr>
                                <w:rPr>
                                  <w:rFonts w:ascii="Cambria Math" w:hAnsi="Cambria Math" w:cs="Times New Roman"/>
                                  <w:sz w:val="22"/>
                                  <w:szCs w:val="22"/>
                                </w:rPr>
                                <m:t>-1</m:t>
                              </m:r>
                            </m:sup>
                          </m:sSubSup>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I</m:t>
                                  </m:r>
                                </m:e>
                                <m:sub>
                                  <m:r>
                                    <w:rPr>
                                      <w:rFonts w:ascii="Cambria Math" w:hAnsi="Cambria Math" w:cs="Times New Roman"/>
                                      <w:sz w:val="22"/>
                                      <w:szCs w:val="22"/>
                                    </w:rPr>
                                    <m:t>R</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G</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M</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P</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L</m:t>
                                  </m:r>
                                </m:sub>
                              </m:sSub>
                            </m:e>
                          </m:d>
                          <m:r>
                            <m:rPr>
                              <m:sty m:val="p"/>
                            </m:rPr>
                            <w:rPr>
                              <w:rFonts w:ascii="Cambria Math" w:hAnsi="Cambria Math" w:cs="Times New Roman"/>
                              <w:sz w:val="22"/>
                              <w:szCs w:val="22"/>
                            </w:rPr>
                            <m:t> </m:t>
                          </m:r>
                          <m:ctrlPr>
                            <w:rPr>
                              <w:rFonts w:ascii="Cambria Math" w:eastAsia="Cambria Math" w:hAnsi="Cambria Math" w:cs="Times New Roman"/>
                              <w:i/>
                              <w:sz w:val="22"/>
                              <w:szCs w:val="22"/>
                            </w:rPr>
                          </m:ctrlPr>
                        </m:e>
                        <m:e>
                          <m:r>
                            <m:rPr>
                              <m:nor/>
                            </m:rPr>
                            <w:rPr>
                              <w:rFonts w:ascii="Arial" w:hAnsi="Arial" w:cs="Arial"/>
                              <w:sz w:val="22"/>
                              <w:szCs w:val="22"/>
                            </w:rPr>
                            <m:t>Pregnant and lactating female</m:t>
                          </m:r>
                          <m:ctrlPr>
                            <w:rPr>
                              <w:rFonts w:ascii="Cambria Math" w:eastAsia="Cambria Math" w:hAnsi="Cambria Math" w:cs="Times New Roman"/>
                              <w:i/>
                              <w:sz w:val="22"/>
                              <w:szCs w:val="22"/>
                            </w:rPr>
                          </m:ctrlPr>
                        </m:e>
                      </m:mr>
                      <m:mr>
                        <m:e>
                          <m:sSubSup>
                            <m:sSubSupPr>
                              <m:ctrlPr>
                                <w:rPr>
                                  <w:rFonts w:ascii="Cambria Math" w:hAnsi="Cambria Math" w:cs="Times New Roman"/>
                                  <w:sz w:val="22"/>
                                  <w:szCs w:val="22"/>
                                </w:rPr>
                              </m:ctrlPr>
                            </m:sSubSupPr>
                            <m:e>
                              <m:r>
                                <w:rPr>
                                  <w:rFonts w:ascii="Cambria Math" w:hAnsi="Cambria Math" w:cs="Times New Roman"/>
                                  <w:sz w:val="22"/>
                                  <w:szCs w:val="22"/>
                                </w:rPr>
                                <m:t>ε</m:t>
                              </m:r>
                            </m:e>
                            <m:sub>
                              <m:r>
                                <w:rPr>
                                  <w:rFonts w:ascii="Cambria Math" w:hAnsi="Cambria Math" w:cs="Times New Roman"/>
                                  <w:sz w:val="22"/>
                                  <w:szCs w:val="22"/>
                                </w:rPr>
                                <m:t>i</m:t>
                              </m:r>
                            </m:sub>
                            <m:sup>
                              <m:r>
                                <m:rPr>
                                  <m:sty m:val="p"/>
                                </m:rPr>
                                <w:rPr>
                                  <w:rFonts w:ascii="Cambria Math" w:hAnsi="Cambria Math" w:cs="Times New Roman"/>
                                  <w:sz w:val="22"/>
                                  <w:szCs w:val="22"/>
                                </w:rPr>
                                <m:t>-1</m:t>
                              </m:r>
                            </m:sup>
                          </m:sSubSup>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I</m:t>
                                  </m:r>
                                </m:e>
                                <m:sub>
                                  <m:r>
                                    <w:rPr>
                                      <w:rFonts w:ascii="Cambria Math" w:hAnsi="Cambria Math" w:cs="Times New Roman"/>
                                      <w:sz w:val="22"/>
                                      <w:szCs w:val="22"/>
                                    </w:rPr>
                                    <m:t>R</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G</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M</m:t>
                                  </m:r>
                                </m:sub>
                              </m:sSub>
                            </m:e>
                          </m:d>
                        </m:e>
                        <m:e>
                          <m:r>
                            <m:rPr>
                              <m:nor/>
                            </m:rPr>
                            <w:rPr>
                              <w:rFonts w:ascii="Arial" w:hAnsi="Arial" w:cs="Arial"/>
                              <w:sz w:val="22"/>
                              <w:szCs w:val="22"/>
                            </w:rPr>
                            <m:t>Other</m:t>
                          </m:r>
                        </m:e>
                      </m:mr>
                    </m:m>
                  </m:e>
                </m:d>
              </m:oMath>
            </m:oMathPara>
          </w:p>
        </w:tc>
        <w:tc>
          <w:tcPr>
            <w:tcW w:w="850" w:type="dxa"/>
            <w:shd w:val="clear" w:color="auto" w:fill="auto"/>
            <w:tcMar>
              <w:top w:w="80" w:type="dxa"/>
              <w:left w:w="80" w:type="dxa"/>
              <w:bottom w:w="80" w:type="dxa"/>
              <w:right w:w="80" w:type="dxa"/>
            </w:tcMar>
            <w:vAlign w:val="center"/>
          </w:tcPr>
          <w:p w14:paraId="2430DAAD" w14:textId="42CB790C" w:rsidR="00C13A83" w:rsidRPr="0092643A" w:rsidRDefault="00E97362" w:rsidP="00E97362">
            <w:pPr>
              <w:pStyle w:val="BodyText"/>
              <w:spacing w:after="0"/>
              <w:ind w:firstLine="0"/>
              <w:rPr>
                <w:rFonts w:ascii="Arial" w:hAnsi="Arial" w:cs="Arial"/>
                <w:sz w:val="20"/>
                <w:szCs w:val="20"/>
              </w:rPr>
            </w:pPr>
            <w:r w:rsidRPr="0092643A">
              <w:rPr>
                <w:rFonts w:ascii="Arial" w:hAnsi="Arial" w:cs="Arial"/>
                <w:sz w:val="20"/>
                <w:szCs w:val="20"/>
              </w:rPr>
              <w:t>(1)</w:t>
            </w:r>
          </w:p>
        </w:tc>
      </w:tr>
    </w:tbl>
    <w:p w14:paraId="4B819711" w14:textId="4FEC91F9" w:rsidR="007C1D8B" w:rsidRDefault="00374E9C" w:rsidP="0082745D">
      <w:pPr>
        <w:pStyle w:val="Firstparagraph"/>
      </w:pPr>
      <w:r>
        <w:t xml:space="preserve">With the reserve mass at birth as initial condition </w:t>
      </w:r>
      <w:proofErr w:type="gramStart"/>
      <w:r>
        <w:rPr>
          <w:i/>
          <w:iCs/>
        </w:rPr>
        <w:t>F(</w:t>
      </w:r>
      <w:proofErr w:type="gramEnd"/>
      <w:r>
        <w:rPr>
          <w:i/>
          <w:iCs/>
        </w:rPr>
        <w:t xml:space="preserve">0) = </w:t>
      </w:r>
      <w:r w:rsidRPr="00374E9C">
        <w:rPr>
          <w:i/>
          <w:iCs/>
        </w:rPr>
        <w:t>F</w:t>
      </w:r>
      <w:r w:rsidRPr="00374E9C">
        <w:rPr>
          <w:i/>
          <w:iCs/>
          <w:vertAlign w:val="subscript"/>
        </w:rPr>
        <w:t>b</w:t>
      </w:r>
      <w:r>
        <w:t>. In eq. (1)</w:t>
      </w:r>
      <w:r w:rsidR="007C1D8B">
        <w:t>, the anabolic</w:t>
      </w:r>
      <w:r w:rsidR="006447AC">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
            </m:r>
          </m:sub>
        </m:sSub>
      </m:oMath>
      <w:r w:rsidR="006447AC">
        <w:rPr>
          <w:rFonts w:eastAsiaTheme="minorEastAsia"/>
        </w:rPr>
        <w:t xml:space="preserve"> if </w:t>
      </w:r>
      <m:oMath>
        <m:f>
          <m:fPr>
            <m:ctrlPr>
              <w:rPr>
                <w:rFonts w:ascii="Cambria Math" w:hAnsi="Cambria Math"/>
                <w:i/>
              </w:rPr>
            </m:ctrlPr>
          </m:fPr>
          <m:num>
            <m:r>
              <w:rPr>
                <w:rFonts w:ascii="Cambria Math" w:hAnsi="Cambria Math"/>
              </w:rPr>
              <m:t>dF</m:t>
            </m:r>
          </m:num>
          <m:den>
            <m:r>
              <w:rPr>
                <w:rFonts w:ascii="Cambria Math" w:hAnsi="Cambria Math"/>
              </w:rPr>
              <m:t>da</m:t>
            </m:r>
          </m:den>
        </m:f>
        <m:r>
          <w:rPr>
            <w:rFonts w:ascii="Cambria Math" w:hAnsi="Cambria Math"/>
          </w:rPr>
          <m:t>&gt;0</m:t>
        </m:r>
      </m:oMath>
      <w:r w:rsidR="006447AC">
        <w:t xml:space="preserve"> </w:t>
      </w:r>
      <w:r w:rsidR="007C1D8B">
        <w:t>and catabolic</w:t>
      </w:r>
      <w:r w:rsidR="006447AC">
        <w:t xml:space="preserve"> </w:t>
      </w:r>
      <m:oMath>
        <m:sSub>
          <m:sSubPr>
            <m:ctrlPr>
              <w:rPr>
                <w:rFonts w:ascii="Cambria Math" w:hAnsi="Cambria Math"/>
                <w:i/>
              </w:rPr>
            </m:ctrlPr>
          </m:sSubPr>
          <m:e>
            <m:r>
              <w:rPr>
                <w:rFonts w:ascii="Cambria Math" w:hAnsi="Cambria Math"/>
              </w:rPr>
              <m:t>ε</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
            </m:r>
          </m:sub>
        </m:sSub>
      </m:oMath>
      <w:r w:rsidR="006447AC">
        <w:rPr>
          <w:rFonts w:eastAsiaTheme="minorEastAsia"/>
        </w:rPr>
        <w:t xml:space="preserve"> if </w:t>
      </w:r>
      <m:oMath>
        <m:f>
          <m:fPr>
            <m:ctrlPr>
              <w:rPr>
                <w:rFonts w:ascii="Cambria Math" w:hAnsi="Cambria Math"/>
              </w:rPr>
            </m:ctrlPr>
          </m:fPr>
          <m:num>
            <m:r>
              <w:rPr>
                <w:rFonts w:ascii="Cambria Math" w:hAnsi="Cambria Math"/>
              </w:rPr>
              <m:t>dF</m:t>
            </m:r>
            <m:ctrlPr>
              <w:rPr>
                <w:rFonts w:ascii="Cambria Math" w:hAnsi="Cambria Math"/>
                <w:i/>
              </w:rPr>
            </m:ctrlPr>
          </m:num>
          <m:den>
            <m:r>
              <w:rPr>
                <w:rFonts w:ascii="Cambria Math" w:hAnsi="Cambria Math"/>
              </w:rPr>
              <m:t>da</m:t>
            </m:r>
            <m:ctrlPr>
              <w:rPr>
                <w:rFonts w:ascii="Cambria Math" w:hAnsi="Cambria Math"/>
                <w:i/>
              </w:rPr>
            </m:ctrlPr>
          </m:den>
        </m:f>
        <m:r>
          <w:rPr>
            <w:rFonts w:ascii="Cambria Math" w:hAnsi="Cambria Math"/>
          </w:rPr>
          <m:t>&lt;0</m:t>
        </m:r>
      </m:oMath>
      <w:r w:rsidR="007C1D8B">
        <w:t xml:space="preserve"> conversion parameters account for the efficiency of storing and utilizing reserves.</w:t>
      </w:r>
    </w:p>
    <w:p w14:paraId="4CCF0F52" w14:textId="77F4BF09" w:rsidR="00727AD7" w:rsidRDefault="00B902F8" w:rsidP="0082745D">
      <w:r>
        <w:t>The function describing e</w:t>
      </w:r>
      <w:r w:rsidR="00D9182E">
        <w:t>nergy</w:t>
      </w:r>
      <w:r>
        <w:t xml:space="preserve"> assimilation rate</w:t>
      </w:r>
      <w:r w:rsidR="00D9182E">
        <w:t xml:space="preserve"> from prey feeding</w:t>
      </w:r>
      <w:r w:rsidR="00551A5B">
        <w:t xml:space="preserve"> (</w:t>
      </w:r>
      <w:r w:rsidR="00551A5B">
        <w:rPr>
          <w:i/>
          <w:iCs/>
        </w:rPr>
        <w:t>I</w:t>
      </w:r>
      <w:r w:rsidR="00551A5B">
        <w:rPr>
          <w:i/>
          <w:iCs/>
          <w:vertAlign w:val="subscript"/>
        </w:rPr>
        <w:t>R</w:t>
      </w:r>
      <w:r w:rsidR="00551A5B">
        <w:t xml:space="preserve"> in MJ </w:t>
      </w:r>
      <w:proofErr w:type="gramStart"/>
      <w:r w:rsidR="00551A5B">
        <w:t>day</w:t>
      </w:r>
      <w:r w:rsidR="00551A5B" w:rsidRPr="00551A5B">
        <w:rPr>
          <w:vertAlign w:val="superscript"/>
        </w:rPr>
        <w:t>-1</w:t>
      </w:r>
      <w:proofErr w:type="gramEnd"/>
      <w:r w:rsidR="00551A5B">
        <w:t>)</w:t>
      </w:r>
      <w:r w:rsidR="00D9182E">
        <w:t xml:space="preserve"> </w:t>
      </w:r>
      <w:r>
        <w:t xml:space="preserve">consists of three different components. </w:t>
      </w:r>
      <w:r w:rsidR="00101C96">
        <w:t xml:space="preserve">The first component is </w:t>
      </w:r>
      <w:r>
        <w:t xml:space="preserve">a </w:t>
      </w:r>
      <w:r w:rsidR="004274F5">
        <w:t xml:space="preserve">type II functional response of </w:t>
      </w:r>
      <w:r w:rsidR="00D9182E">
        <w:t xml:space="preserve">prey density </w:t>
      </w:r>
      <w:r w:rsidR="00551A5B">
        <w:rPr>
          <w:i/>
          <w:iCs/>
        </w:rPr>
        <w:t>R</w:t>
      </w:r>
      <w:r w:rsidR="000C4A55">
        <w:t>,</w:t>
      </w:r>
      <w:r w:rsidR="00956E99" w:rsidRPr="000C4A55">
        <w:t xml:space="preserve"> </w:t>
      </w:r>
      <w:r w:rsidR="00956E99">
        <w:t xml:space="preserve">with a maximum consumption rate that depends on </w:t>
      </w:r>
      <w:r w:rsidR="00D9182E">
        <w:t xml:space="preserve">structural surface-area </w:t>
      </w:r>
      <w:r w:rsidR="00551A5B">
        <w:rPr>
          <w:i/>
          <w:iCs/>
        </w:rPr>
        <w:t>S</w:t>
      </w:r>
      <w:r w:rsidR="00551A5B" w:rsidRPr="00551A5B">
        <w:rPr>
          <w:i/>
          <w:iCs/>
          <w:vertAlign w:val="superscript"/>
        </w:rPr>
        <w:t>2/3</w:t>
      </w:r>
      <w:r w:rsidR="00101C96">
        <w:t xml:space="preserve"> and the handling time parameter </w:t>
      </w:r>
      <w:r w:rsidR="00E81165" w:rsidRPr="00E81165">
        <w:rPr>
          <w:i/>
          <w:iCs/>
        </w:rPr>
        <w:t>h</w:t>
      </w:r>
      <w:r w:rsidR="00101C96">
        <w:t xml:space="preserve">. </w:t>
      </w:r>
      <w:r w:rsidR="00956E99">
        <w:t xml:space="preserve">The </w:t>
      </w:r>
      <w:r w:rsidR="00D9182E">
        <w:t xml:space="preserve">attack rate parameter </w:t>
      </w:r>
      <w:r w:rsidR="004650FF">
        <w:t>of the functional response (</w:t>
      </w:r>
      <m:oMath>
        <m:sSubSup>
          <m:sSubSupPr>
            <m:ctrlPr>
              <w:rPr>
                <w:rFonts w:ascii="Cambria Math" w:hAnsi="Cambria Math"/>
                <w:i/>
              </w:rPr>
            </m:ctrlPr>
          </m:sSubSupPr>
          <m:e>
            <m:r>
              <w:rPr>
                <w:rFonts w:ascii="Cambria Math" w:hAnsi="Cambria Math"/>
              </w:rPr>
              <m:t>ϕ</m:t>
            </m:r>
          </m:e>
          <m:sub>
            <m:r>
              <w:rPr>
                <w:rFonts w:ascii="Cambria Math" w:hAnsi="Cambria Math"/>
              </w:rPr>
              <m:t>R</m:t>
            </m:r>
          </m:sub>
          <m:sup>
            <m:r>
              <w:rPr>
                <w:rFonts w:ascii="Cambria Math" w:hAnsi="Cambria Math"/>
              </w:rPr>
              <m:t>j</m:t>
            </m:r>
          </m:sup>
        </m:sSubSup>
      </m:oMath>
      <w:r w:rsidR="004650FF">
        <w:rPr>
          <w:rFonts w:eastAsiaTheme="minorEastAsia"/>
        </w:rPr>
        <w:t>)</w:t>
      </w:r>
      <w:r w:rsidR="00956E99">
        <w:rPr>
          <w:rFonts w:eastAsiaTheme="minorEastAsia"/>
        </w:rPr>
        <w:t xml:space="preserve"> </w:t>
      </w:r>
      <w:r w:rsidR="00551A5B">
        <w:t xml:space="preserve">varies </w:t>
      </w:r>
      <w:r w:rsidR="00D9182E">
        <w:t>between areas</w:t>
      </w:r>
      <w:r w:rsidR="00FF7A64">
        <w:t xml:space="preserve"> (</w:t>
      </w:r>
      <w:r w:rsidR="004650FF" w:rsidRPr="004650FF">
        <w:rPr>
          <w:i/>
          <w:iCs/>
        </w:rPr>
        <w:t>j</w:t>
      </w:r>
      <w:r w:rsidR="00FF7A64">
        <w:t>)</w:t>
      </w:r>
      <w:r w:rsidR="00085DC9">
        <w:t xml:space="preserve"> (Table S2)</w:t>
      </w:r>
      <w:r w:rsidR="00D9182E">
        <w:t xml:space="preserve">. </w:t>
      </w:r>
      <w:r w:rsidR="00CA7C54">
        <w:t xml:space="preserve">The </w:t>
      </w:r>
      <w:r w:rsidR="00201E22">
        <w:t>second component</w:t>
      </w:r>
      <w:r w:rsidR="00030596">
        <w:t xml:space="preserve"> represents </w:t>
      </w:r>
      <w:r w:rsidR="00201E22">
        <w:t xml:space="preserve">the </w:t>
      </w:r>
      <w:r w:rsidR="00030596">
        <w:t xml:space="preserve">feeding </w:t>
      </w:r>
      <w:r w:rsidR="007C1D8B">
        <w:t>effort</w:t>
      </w:r>
      <w:r w:rsidR="003D142E">
        <w:t xml:space="preserve"> </w:t>
      </w:r>
      <w:r w:rsidR="004A76F5">
        <w:t>(</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-η(ρW/F-1)</m:t>
                </m:r>
              </m:sup>
            </m:sSup>
          </m:den>
        </m:f>
      </m:oMath>
      <w:r w:rsidR="004A76F5">
        <w:rPr>
          <w:rFonts w:eastAsiaTheme="minorEastAsia"/>
        </w:rPr>
        <w:t>)</w:t>
      </w:r>
      <w:r w:rsidR="00A10011">
        <w:t xml:space="preserve"> </w:t>
      </w:r>
      <w:r w:rsidR="00067D88">
        <w:t xml:space="preserve">and </w:t>
      </w:r>
      <w:r w:rsidR="00A10011">
        <w:t>describe</w:t>
      </w:r>
      <w:r w:rsidR="00CA7C54">
        <w:t>s</w:t>
      </w:r>
      <w:r w:rsidR="00A10011">
        <w:t xml:space="preserve"> the fraction of time spen</w:t>
      </w:r>
      <w:r w:rsidR="00800081">
        <w:t>t</w:t>
      </w:r>
      <w:r w:rsidR="00A10011">
        <w:t xml:space="preserve"> foraging</w:t>
      </w:r>
      <w:r w:rsidR="00067D88">
        <w:t xml:space="preserve">. The feeding effort </w:t>
      </w:r>
      <w:r w:rsidR="00CA7C54">
        <w:t xml:space="preserve">is </w:t>
      </w:r>
      <w:r w:rsidR="007C1D8B">
        <w:t>modelled as a decreasing sigmoidal function of body condition</w:t>
      </w:r>
      <w:r w:rsidR="00A10011">
        <w:t xml:space="preserve"> (F/W)</w:t>
      </w:r>
      <w:r w:rsidR="00067D88">
        <w:t xml:space="preserve"> that e</w:t>
      </w:r>
      <w:r w:rsidR="007C1D8B">
        <w:t xml:space="preserve">quals 0.5 at the target body condition </w:t>
      </w:r>
      <m:oMath>
        <m:r>
          <w:rPr>
            <w:rFonts w:ascii="Cambria Math" w:hAnsi="Cambria Math"/>
          </w:rPr>
          <m:t>ρ= 0.3</m:t>
        </m:r>
      </m:oMath>
      <w:r w:rsidR="007C1D8B">
        <w:t xml:space="preserve">. </w:t>
      </w:r>
      <w:r w:rsidR="00067D88">
        <w:t xml:space="preserve">The last component of </w:t>
      </w:r>
      <w:r w:rsidR="00236C54">
        <w:t xml:space="preserve">prey foraging </w:t>
      </w:r>
      <w:r w:rsidR="00CA247C">
        <w:t>models the</w:t>
      </w:r>
      <w:r w:rsidR="00236C54">
        <w:t xml:space="preserve"> prey feeding efficiency (capture success), which </w:t>
      </w:r>
      <w:r w:rsidR="00067D88">
        <w:t xml:space="preserve">is </w:t>
      </w:r>
      <w:r w:rsidR="00915B0C">
        <w:t>lower for younger whales and gradually increases with age according to a hyperbolic function</w:t>
      </w:r>
      <w:r w:rsidR="00236C54">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γ</m:t>
                </m:r>
              </m:sup>
            </m:sSup>
          </m:num>
          <m:den>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γ</m:t>
                </m:r>
              </m:sup>
            </m:sSubSup>
            <m:sSup>
              <m:sSupPr>
                <m:ctrlPr>
                  <w:rPr>
                    <w:rFonts w:ascii="Cambria Math" w:hAnsi="Cambria Math"/>
                    <w:i/>
                  </w:rPr>
                </m:ctrlPr>
              </m:sSupPr>
              <m:e>
                <m:r>
                  <w:rPr>
                    <w:rFonts w:ascii="Cambria Math" w:hAnsi="Cambria Math"/>
                  </w:rPr>
                  <m:t>+ a</m:t>
                </m:r>
              </m:e>
              <m:sup>
                <m:r>
                  <w:rPr>
                    <w:rFonts w:ascii="Cambria Math" w:hAnsi="Cambria Math"/>
                  </w:rPr>
                  <m:t>γ</m:t>
                </m:r>
              </m:sup>
            </m:sSup>
          </m:den>
        </m:f>
      </m:oMath>
      <w:r w:rsidR="00236C54">
        <w:rPr>
          <w:rFonts w:eastAsiaTheme="minorEastAsia"/>
        </w:rPr>
        <w:t>)</w:t>
      </w:r>
      <w:r w:rsidR="00915B0C">
        <w:t>.</w:t>
      </w:r>
      <w:r w:rsidR="0013614B">
        <w:t xml:space="preserve"> </w:t>
      </w:r>
    </w:p>
    <w:p w14:paraId="73BAE727" w14:textId="758A7D4C" w:rsidR="00D6515A" w:rsidRDefault="00C31CFB" w:rsidP="0082745D">
      <w:r>
        <w:t>The lactation rate is proportional to calf structural surface-area (</w:t>
      </w:r>
      <m:oMath>
        <m:sSub>
          <m:sSubPr>
            <m:ctrlPr>
              <w:rPr>
                <w:rFonts w:ascii="Cambria Math" w:hAnsi="Cambria Math"/>
                <w:i/>
              </w:rPr>
            </m:ctrlPr>
          </m:sSubPr>
          <m:e>
            <m:r>
              <w:rPr>
                <w:rFonts w:ascii="Cambria Math" w:hAnsi="Cambria Math"/>
              </w:rPr>
              <m:t>ϕ</m:t>
            </m:r>
            <m:ctrlPr>
              <w:rPr>
                <w:rFonts w:ascii="Cambria Math" w:hAnsi="Cambria Math"/>
              </w:rPr>
            </m:ctrlPr>
          </m:e>
          <m:sub>
            <m:r>
              <w:rPr>
                <w:rFonts w:ascii="Cambria Math" w:hAnsi="Cambria Math"/>
              </w:rPr>
              <m:t>L</m:t>
            </m:r>
          </m:sub>
        </m:sSub>
        <m:r>
          <w:rPr>
            <w:rFonts w:ascii="Cambria Math" w:hAnsi="Cambria Math"/>
          </w:rPr>
          <m:t> </m:t>
        </m:r>
        <m:sSup>
          <m:sSupPr>
            <m:ctrlPr>
              <w:rPr>
                <w:rFonts w:ascii="Cambria Math" w:hAnsi="Cambria Math"/>
                <w:i/>
              </w:rPr>
            </m:ctrlPr>
          </m:sSupPr>
          <m:e>
            <m:r>
              <w:rPr>
                <w:rFonts w:ascii="Cambria Math" w:hAnsi="Cambria Math"/>
              </w:rPr>
              <m:t>S</m:t>
            </m:r>
          </m:e>
          <m:sup>
            <m:r>
              <w:rPr>
                <w:rFonts w:ascii="Cambria Math" w:hAnsi="Cambria Math"/>
              </w:rPr>
              <m:t>2</m:t>
            </m:r>
            <m:r>
              <m:rPr>
                <m:lit/>
              </m:rPr>
              <w:rPr>
                <w:rFonts w:ascii="Cambria Math" w:hAnsi="Cambria Math"/>
              </w:rPr>
              <m:t>/</m:t>
            </m:r>
            <m:r>
              <w:rPr>
                <w:rFonts w:ascii="Cambria Math" w:hAnsi="Cambria Math"/>
              </w:rPr>
              <m:t>3</m:t>
            </m:r>
          </m:sup>
        </m:sSup>
      </m:oMath>
      <w:r>
        <w:t xml:space="preserve">) </w:t>
      </w:r>
      <w:r w:rsidR="00F85976">
        <w:t>and</w:t>
      </w:r>
      <w:r>
        <w:t xml:space="preserve"> subject to the decrease in feeding effort of the calf in response to calf body condition.</w:t>
      </w:r>
      <w:r w:rsidR="001F3C46">
        <w:t xml:space="preserve"> </w:t>
      </w:r>
      <w:r w:rsidR="00D6515A">
        <w:t>The lactation rate is modified by a hyperbolic function of maternal body condition</w:t>
      </w:r>
      <w:r w:rsidR="00DC6AFC">
        <w:t xml:space="preserve"> (</w:t>
      </w:r>
      <w:r w:rsidR="00865704" w:rsidRPr="00865704">
        <w:rPr>
          <w:i/>
          <w:iCs/>
        </w:rPr>
        <w:t>F</w:t>
      </w:r>
      <w:r w:rsidR="00865704" w:rsidRPr="00865704">
        <w:rPr>
          <w:i/>
          <w:iCs/>
          <w:vertAlign w:val="subscript"/>
        </w:rPr>
        <w:t>m</w:t>
      </w:r>
      <w:r w:rsidR="00AF34F3">
        <w:rPr>
          <w:i/>
          <w:iCs/>
          <w:vertAlign w:val="subscript"/>
        </w:rPr>
        <w:t xml:space="preserve"> </w:t>
      </w:r>
      <w:r w:rsidR="00865704">
        <w:t>/</w:t>
      </w:r>
      <w:r w:rsidR="00BA130A">
        <w:t xml:space="preserve"> </w:t>
      </w:r>
      <w:r w:rsidR="00865704" w:rsidRPr="00865704">
        <w:rPr>
          <w:i/>
          <w:iCs/>
        </w:rPr>
        <w:t>W</w:t>
      </w:r>
      <w:r w:rsidR="00865704" w:rsidRPr="00865704">
        <w:rPr>
          <w:i/>
          <w:iCs/>
          <w:vertAlign w:val="subscript"/>
        </w:rPr>
        <w:t>m</w:t>
      </w:r>
      <w:r w:rsidR="00DC6AFC">
        <w:t>)</w:t>
      </w:r>
      <w:r w:rsidR="00D6515A">
        <w:t xml:space="preserve"> that equals zero if maternal body condition falls below </w:t>
      </w:r>
      <m:oMath>
        <m:sSub>
          <m:sSubPr>
            <m:ctrlPr>
              <w:rPr>
                <w:rFonts w:ascii="Cambria Math" w:hAnsi="Cambria Math"/>
                <w:i/>
              </w:rPr>
            </m:ctrlPr>
          </m:sSubPr>
          <m:e>
            <m:r>
              <w:rPr>
                <w:rFonts w:ascii="Cambria Math" w:hAnsi="Cambria Math"/>
              </w:rPr>
              <m:t>ρ</m:t>
            </m:r>
            <m:ctrlPr>
              <w:rPr>
                <w:rFonts w:ascii="Cambria Math" w:hAnsi="Cambria Math"/>
              </w:rPr>
            </m:ctrlPr>
          </m:e>
          <m:sub>
            <m:r>
              <w:rPr>
                <w:rFonts w:ascii="Cambria Math" w:hAnsi="Cambria Math"/>
              </w:rPr>
              <m:t>s</m:t>
            </m:r>
          </m:sub>
        </m:sSub>
      </m:oMath>
      <w:r w:rsidR="00D6515A">
        <w:t xml:space="preserve"> and one </w:t>
      </w:r>
      <w:r w:rsidR="00B7151B">
        <w:t>at</w:t>
      </w:r>
      <w:r w:rsidR="00D6515A">
        <w:t xml:space="preserve"> </w:t>
      </w:r>
      <m:oMath>
        <m:sSub>
          <m:sSubPr>
            <m:ctrlPr>
              <w:rPr>
                <w:rFonts w:ascii="Cambria Math" w:hAnsi="Cambria Math"/>
                <w:i/>
              </w:rPr>
            </m:ctrlPr>
          </m:sSubPr>
          <m:e>
            <m:r>
              <w:rPr>
                <w:rFonts w:ascii="Cambria Math" w:hAnsi="Cambria Math"/>
              </w:rPr>
              <m:t>F</m:t>
            </m:r>
          </m:e>
          <m:sub>
            <m:r>
              <w:rPr>
                <w:rFonts w:ascii="Cambria Math" w:hAnsi="Cambria Math"/>
              </w:rPr>
              <m:t>m</m:t>
            </m:r>
          </m:sub>
        </m:sSub>
        <m:r>
          <m:rPr>
            <m:lit/>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=ρ</m:t>
        </m:r>
      </m:oMath>
      <w:r w:rsidR="00D6515A">
        <w:t>. Furthermore,</w:t>
      </w:r>
      <w:r w:rsidR="00AB4365">
        <w:t xml:space="preserve"> beyond </w:t>
      </w:r>
      <w:r w:rsidR="00B7151B">
        <w:t xml:space="preserve">age </w:t>
      </w:r>
      <w:r w:rsidR="00B7151B" w:rsidRPr="00B7151B">
        <w:rPr>
          <w:i/>
          <w:iCs/>
        </w:rPr>
        <w:t>T</w:t>
      </w:r>
      <w:r w:rsidR="00B7151B" w:rsidRPr="00B7151B">
        <w:rPr>
          <w:i/>
          <w:iCs/>
          <w:vertAlign w:val="subscript"/>
        </w:rPr>
        <w:t>N</w:t>
      </w:r>
      <w:r w:rsidR="00B7151B">
        <w:t xml:space="preserve">, </w:t>
      </w:r>
      <w:r w:rsidR="00AB4365">
        <w:t>m</w:t>
      </w:r>
      <w:r w:rsidR="00D6515A">
        <w:t xml:space="preserve">ilk </w:t>
      </w:r>
      <w:r w:rsidR="00FF59A6">
        <w:t xml:space="preserve">demand </w:t>
      </w:r>
      <w:r w:rsidR="00AB4365">
        <w:t xml:space="preserve">by the calf </w:t>
      </w:r>
      <w:r w:rsidR="00D6515A">
        <w:t>declines as the calf approaches weaning age (</w:t>
      </w:r>
      <w:r w:rsidR="00AB4365" w:rsidRPr="00AB4365">
        <w:rPr>
          <w:i/>
          <w:iCs/>
        </w:rPr>
        <w:t>T</w:t>
      </w:r>
      <w:r w:rsidR="00AB4365" w:rsidRPr="00AB4365">
        <w:rPr>
          <w:i/>
          <w:iCs/>
          <w:vertAlign w:val="subscript"/>
        </w:rPr>
        <w:t>L</w:t>
      </w:r>
      <w:r w:rsidR="00D6515A">
        <w:t>)</w:t>
      </w:r>
      <w:r w:rsidR="00B7151B">
        <w:t>.</w:t>
      </w:r>
    </w:p>
    <w:p w14:paraId="19A403CC" w14:textId="04F7B414" w:rsidR="00670983" w:rsidRPr="00670983" w:rsidRDefault="007C1D8B" w:rsidP="00670983">
      <w:r>
        <w:t>Costs for structural growth (</w:t>
      </w:r>
      <w:r w:rsidRPr="00024E16">
        <w:rPr>
          <w:i/>
          <w:iCs/>
        </w:rPr>
        <w:t>C</w:t>
      </w:r>
      <w:r w:rsidRPr="00024E16">
        <w:rPr>
          <w:i/>
          <w:iCs/>
          <w:vertAlign w:val="subscript"/>
        </w:rPr>
        <w:t>G</w:t>
      </w:r>
      <w:r>
        <w:t xml:space="preserve">) are obtained from the derivative of structural mass with respect to age multiplied by costs of growth parameter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G</m:t>
            </m:r>
          </m:sub>
        </m:sSub>
      </m:oMath>
      <w:r>
        <w:t xml:space="preserve">. Metabolic costs follow a quarter power relationship </w:t>
      </w:r>
      <w:r w:rsidR="00A4112F">
        <w:t>of</w:t>
      </w:r>
      <w:r>
        <w:t xml:space="preserve"> maintenance body mass (</w:t>
      </w:r>
      <w:r w:rsidR="00731DEB" w:rsidRPr="00731DEB">
        <w:rPr>
          <w:i/>
          <w:iCs/>
        </w:rPr>
        <w:t>W</w:t>
      </w:r>
      <w:r w:rsidR="00731DEB" w:rsidRPr="00731DEB">
        <w:rPr>
          <w:i/>
          <w:iCs/>
          <w:vertAlign w:val="subscript"/>
        </w:rPr>
        <w:t>M</w:t>
      </w:r>
      <w:r>
        <w:t>)</w:t>
      </w:r>
      <w:r w:rsidR="00814F60">
        <w:t xml:space="preserve"> following </w:t>
      </w:r>
      <w:proofErr w:type="spellStart"/>
      <w:r w:rsidR="00D46131">
        <w:t>Kleiber</w:t>
      </w:r>
      <w:proofErr w:type="spellEnd"/>
      <w:r w:rsidR="00D46131">
        <w:t xml:space="preserve"> </w:t>
      </w:r>
      <w:r w:rsidR="00814F60">
        <w:fldChar w:fldCharType="begin"/>
      </w:r>
      <w:r w:rsidR="00D46131">
        <w:instrText xml:space="preserve"> ADDIN ZOTERO_ITEM CSL_CITATION {"citationID":"6CBHwRno","properties":{"formattedCitation":"(1975)","plainCitation":"(1975)","noteIndex":0},"citationItems":[{"id":2177,"uris":["http://zotero.org/users/local/6qJKLD2C/items/CQ2CR9BT"],"uri":["http://zotero.org/users/local/6qJKLD2C/items/CQ2CR9BT"],"itemData":{"id":2177,"type":"book","event-place":"Huntington, N.Y.","publisher":"R.E. Krieger Pub. Co.","publisher-place":"Huntington, N.Y.","title":"The fire of life: an introduction to animal energetics","author":[{"family":"Kleiber","given":"M."}],"issued":{"date-parts":[["1975"]]}},"suppress-author":true}],"schema":"https://github.com/citation-style-language/schema/raw/master/csl-citation.json"} </w:instrText>
      </w:r>
      <w:r w:rsidR="00814F60">
        <w:fldChar w:fldCharType="separate"/>
      </w:r>
      <w:r w:rsidR="00D46131">
        <w:rPr>
          <w:noProof/>
        </w:rPr>
        <w:t>(1975)</w:t>
      </w:r>
      <w:r w:rsidR="00814F60">
        <w:fldChar w:fldCharType="end"/>
      </w:r>
      <w:r w:rsidR="00CD472E">
        <w:t xml:space="preserve"> and</w:t>
      </w:r>
      <w:r w:rsidR="00AE7073">
        <w:t xml:space="preserve"> Lockyer </w:t>
      </w:r>
      <w:r w:rsidR="00CD472E">
        <w:lastRenderedPageBreak/>
        <w:fldChar w:fldCharType="begin"/>
      </w:r>
      <w:r w:rsidR="00AE7073">
        <w:instrText xml:space="preserve"> ADDIN ZOTERO_ITEM CSL_CITATION {"citationID":"kWkXHxSL","properties":{"formattedCitation":"(2007)","plainCitation":"(2007)","noteIndex":0},"citationItems":[{"id":1921,"uris":["http://zotero.org/users/local/6qJKLD2C/items/CJYGUFYL"],"uri":["http://zotero.org/users/local/6qJKLD2C/items/CJYGUFYL"],"itemData":{"id":1921,"type":"article-journal","abstract":"This paper reviews some specific studies of cetacean life history energetics over the past 20–30 y that include one of the largest species, the baleen fin whale,\n              Balaenoptera physalus\n              , the medium-sized odontocete long-finned pilot whale,\n              Globicephala melas\n              , and one of the smallest marine odontocetes, the harbour porpoise,\n              Phocoena phocoena\n              . Attention is drawn to the decrease in longevity with size and the differences in biological parameters that reflect this and affect life history strategy and energy utilization. Data from the past whaling industry in Iceland for fin whales, the Faroese ‘grindedrap’ for pilot whales, and by-catches as well as some live captive studies for harbour porpoise have been used. The studies demonstrate how information can be gathered to compile energy budgets for individuals, relying on carcase measurement and analysis, dietary investigations, biochemical analyses of tissues, and general life history studies including reproduction; as well as from monitoring living animals. The individual examples presented show how food energy storage in the form of fat can be variously important in insulation in the smallest species to controlling reproductive efficiency in large migratory species. The paper concludes by noting that an understanding of energy use in the individual can be an important input in multi-species ecosystem modelling.","container-title":"Journal of the Marine Biological Association of the United Kingdom","DOI":"10.1017/S0025315407054720","ISSN":"0025-3154, 1469-7769","issue":"4","journalAbbreviation":"J. Mar. Biol. Ass.","language":"en","page":"1035-1045","source":"DOI.org (Crossref)","title":"All creatures great and smaller: a study in cetacean life history energetics","title-short":"All creatures great and smaller","volume":"87","author":[{"family":"Lockyer","given":"Christina"}],"issued":{"date-parts":[["2007",8]]}},"suppress-author":true}],"schema":"https://github.com/citation-style-language/schema/raw/master/csl-citation.json"} Lok</w:instrText>
      </w:r>
      <w:r w:rsidR="00CD472E">
        <w:fldChar w:fldCharType="separate"/>
      </w:r>
      <w:r w:rsidR="00AE7073">
        <w:rPr>
          <w:noProof/>
        </w:rPr>
        <w:t>(2007)</w:t>
      </w:r>
      <w:r w:rsidR="00CD472E">
        <w:fldChar w:fldCharType="end"/>
      </w:r>
      <w:r w:rsidR="00A4112F">
        <w:t>.</w:t>
      </w:r>
      <w:r>
        <w:t xml:space="preserve"> </w:t>
      </w:r>
      <w:r w:rsidR="008E78F1">
        <w:t>P</w:t>
      </w:r>
      <w:r>
        <w:t>regnancy costs (</w:t>
      </w:r>
      <w:r w:rsidRPr="008E78F1">
        <w:rPr>
          <w:i/>
          <w:iCs/>
        </w:rPr>
        <w:t>C</w:t>
      </w:r>
      <w:r w:rsidRPr="008E78F1">
        <w:rPr>
          <w:i/>
          <w:iCs/>
          <w:vertAlign w:val="subscript"/>
        </w:rPr>
        <w:t>P</w:t>
      </w:r>
      <w:r>
        <w:t>) are proportional to fetal growth in structural mass. Fetal survival is assumed to be 0.8 over the whole of the gestation period and probability of abortion is independent of female state. Lactation costs (</w:t>
      </w:r>
      <w:r w:rsidRPr="00284247">
        <w:rPr>
          <w:i/>
          <w:iCs/>
        </w:rPr>
        <w:t>C</w:t>
      </w:r>
      <w:r w:rsidRPr="00284247">
        <w:rPr>
          <w:i/>
          <w:iCs/>
          <w:vertAlign w:val="subscript"/>
        </w:rPr>
        <w:t>L</w:t>
      </w:r>
      <w:r>
        <w:t xml:space="preserve">) </w:t>
      </w:r>
      <w:r w:rsidR="00284247">
        <w:t xml:space="preserve">for the female </w:t>
      </w:r>
      <w:r>
        <w:t>are proportional to the lactation rate (</w:t>
      </w:r>
      <w:r w:rsidRPr="00284247">
        <w:rPr>
          <w:i/>
          <w:iCs/>
        </w:rPr>
        <w:t>I</w:t>
      </w:r>
      <w:r w:rsidRPr="00284247">
        <w:rPr>
          <w:i/>
          <w:iCs/>
          <w:vertAlign w:val="subscript"/>
        </w:rPr>
        <w:t>L</w:t>
      </w:r>
      <w:r>
        <w:t>)</w:t>
      </w:r>
      <w:r w:rsidR="00284247">
        <w:t xml:space="preserve"> of the calf, accounting for the efficiency of milk production and consumption through parameter (</w:t>
      </w:r>
      <m:oMath>
        <m:sSub>
          <m:sSubPr>
            <m:ctrlPr>
              <w:rPr>
                <w:rFonts w:ascii="Cambria Math" w:hAnsi="Cambria Math"/>
                <w:i/>
              </w:rPr>
            </m:ctrlPr>
          </m:sSubPr>
          <m:e>
            <m:r>
              <w:rPr>
                <w:rFonts w:ascii="Cambria Math" w:hAnsi="Cambria Math"/>
              </w:rPr>
              <m:t>σ</m:t>
            </m:r>
          </m:e>
          <m:sub>
            <m:r>
              <w:rPr>
                <w:rFonts w:ascii="Cambria Math" w:hAnsi="Cambria Math"/>
              </w:rPr>
              <m:t>L</m:t>
            </m:r>
          </m:sub>
        </m:sSub>
      </m:oMath>
      <w:r w:rsidR="00284247">
        <w:t>)</w:t>
      </w:r>
      <w:r w:rsidR="00147660">
        <w:t>.</w:t>
      </w:r>
    </w:p>
    <w:p w14:paraId="39378AD5" w14:textId="5D3FC95E" w:rsidR="00D753AC" w:rsidRDefault="00D753AC" w:rsidP="00D753AC">
      <w:pPr>
        <w:pStyle w:val="NoSpacing"/>
        <w:jc w:val="left"/>
      </w:pPr>
      <w:r w:rsidRPr="00D753AC">
        <w:rPr>
          <w:b/>
          <w:bCs/>
        </w:rPr>
        <w:t>Table S</w:t>
      </w:r>
      <w:r w:rsidRPr="00D753AC">
        <w:rPr>
          <w:b/>
          <w:bCs/>
        </w:rPr>
        <w:fldChar w:fldCharType="begin"/>
      </w:r>
      <w:r w:rsidRPr="00D753AC">
        <w:rPr>
          <w:b/>
          <w:bCs/>
        </w:rPr>
        <w:instrText xml:space="preserve"> SEQ Table_S \* ARABIC </w:instrText>
      </w:r>
      <w:r w:rsidRPr="00D753AC">
        <w:rPr>
          <w:b/>
          <w:bCs/>
        </w:rPr>
        <w:fldChar w:fldCharType="separate"/>
      </w:r>
      <w:r w:rsidR="00F07D93">
        <w:rPr>
          <w:b/>
          <w:bCs/>
          <w:noProof/>
        </w:rPr>
        <w:t>2</w:t>
      </w:r>
      <w:r w:rsidRPr="00D753AC">
        <w:rPr>
          <w:b/>
          <w:bCs/>
        </w:rPr>
        <w:fldChar w:fldCharType="end"/>
      </w:r>
      <w:r>
        <w:t xml:space="preserve">: </w:t>
      </w:r>
      <w:r w:rsidR="00073D41">
        <w:t>E</w:t>
      </w:r>
      <w:r w:rsidRPr="0084206D">
        <w:t>quations</w:t>
      </w:r>
      <w:r w:rsidR="007544D9">
        <w:t xml:space="preserve"> </w:t>
      </w:r>
      <w:r w:rsidR="00073D41">
        <w:t xml:space="preserve">of the energy budget model </w:t>
      </w:r>
      <w:r w:rsidR="007544D9">
        <w:t>for an individual whale</w:t>
      </w: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410"/>
        <w:gridCol w:w="4445"/>
        <w:gridCol w:w="2505"/>
      </w:tblGrid>
      <w:tr w:rsidR="002416AF" w:rsidRPr="006C5DB2" w14:paraId="25216660" w14:textId="77777777" w:rsidTr="00CB74E3">
        <w:tc>
          <w:tcPr>
            <w:tcW w:w="2410" w:type="dxa"/>
            <w:tcBorders>
              <w:bottom w:val="single" w:sz="8" w:space="0" w:color="auto"/>
            </w:tcBorders>
            <w:vAlign w:val="center"/>
          </w:tcPr>
          <w:p w14:paraId="1AEFF40C" w14:textId="77777777" w:rsidR="002416AF" w:rsidRPr="008D7BF1" w:rsidRDefault="002416AF" w:rsidP="007D1834">
            <w:pPr>
              <w:pStyle w:val="NoSpacing"/>
              <w:jc w:val="left"/>
              <w:rPr>
                <w:b/>
                <w:bCs/>
              </w:rPr>
            </w:pPr>
            <w:r w:rsidRPr="008D7BF1">
              <w:rPr>
                <w:b/>
                <w:bCs/>
              </w:rPr>
              <w:t>Function</w:t>
            </w:r>
          </w:p>
        </w:tc>
        <w:tc>
          <w:tcPr>
            <w:tcW w:w="4445" w:type="dxa"/>
            <w:tcBorders>
              <w:bottom w:val="single" w:sz="8" w:space="0" w:color="auto"/>
            </w:tcBorders>
            <w:vAlign w:val="center"/>
          </w:tcPr>
          <w:p w14:paraId="02721E25" w14:textId="77777777" w:rsidR="002416AF" w:rsidRPr="008D7BF1" w:rsidRDefault="002416AF" w:rsidP="007D1834">
            <w:pPr>
              <w:pStyle w:val="NoSpacing"/>
              <w:jc w:val="left"/>
              <w:rPr>
                <w:b/>
                <w:bCs/>
              </w:rPr>
            </w:pPr>
            <w:r w:rsidRPr="008D7BF1">
              <w:rPr>
                <w:b/>
                <w:bCs/>
              </w:rPr>
              <w:t>Equation</w:t>
            </w:r>
          </w:p>
        </w:tc>
        <w:tc>
          <w:tcPr>
            <w:tcW w:w="0" w:type="auto"/>
            <w:tcBorders>
              <w:bottom w:val="single" w:sz="8" w:space="0" w:color="auto"/>
            </w:tcBorders>
            <w:vAlign w:val="center"/>
          </w:tcPr>
          <w:p w14:paraId="6EFB243E" w14:textId="77777777" w:rsidR="002416AF" w:rsidRPr="008D7BF1" w:rsidRDefault="002416AF" w:rsidP="00FD6903">
            <w:pPr>
              <w:pStyle w:val="NoSpacing"/>
              <w:jc w:val="left"/>
              <w:rPr>
                <w:b/>
                <w:bCs/>
              </w:rPr>
            </w:pPr>
            <w:r w:rsidRPr="008D7BF1">
              <w:rPr>
                <w:b/>
                <w:bCs/>
              </w:rPr>
              <w:t>Description</w:t>
            </w:r>
          </w:p>
        </w:tc>
      </w:tr>
      <w:tr w:rsidR="002416AF" w:rsidRPr="006C5DB2" w14:paraId="1EE3FF18" w14:textId="77777777" w:rsidTr="002416AF">
        <w:tc>
          <w:tcPr>
            <w:tcW w:w="2410" w:type="dxa"/>
            <w:tcBorders>
              <w:top w:val="single" w:sz="8" w:space="0" w:color="auto"/>
              <w:bottom w:val="nil"/>
            </w:tcBorders>
            <w:vAlign w:val="center"/>
          </w:tcPr>
          <w:p w14:paraId="3D6E7FF1"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R</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eastAsiaTheme="minorEastAsia" w:hAnsi="Cambria Math"/>
                      </w:rPr>
                      <m:t>W</m:t>
                    </m:r>
                  </m:e>
                </m:d>
              </m:oMath>
            </m:oMathPara>
          </w:p>
        </w:tc>
        <w:tc>
          <w:tcPr>
            <w:tcW w:w="4445" w:type="dxa"/>
            <w:tcBorders>
              <w:top w:val="single" w:sz="8" w:space="0" w:color="auto"/>
              <w:bottom w:val="nil"/>
            </w:tcBorders>
            <w:vAlign w:val="center"/>
          </w:tcPr>
          <w:p w14:paraId="532F087B" w14:textId="4547DD7F" w:rsidR="002416AF" w:rsidRPr="006C5DB2" w:rsidRDefault="0095202D" w:rsidP="00E42F52">
            <w:pPr>
              <w:pStyle w:val="NoSpacing"/>
              <w:rPr>
                <w:rFonts w:eastAsia="Cambria"/>
              </w:rPr>
            </w:pPr>
            <m:oMathPara>
              <m:oMathParaPr>
                <m:jc m:val="left"/>
              </m:oMathParaPr>
              <m:oMath>
                <m:f>
                  <m:fPr>
                    <m:ctrlPr>
                      <w:rPr>
                        <w:rFonts w:ascii="Cambria Math" w:hAnsi="Cambria Math"/>
                      </w:rPr>
                    </m:ctrlPr>
                  </m:fPr>
                  <m:num>
                    <m:sSubSup>
                      <m:sSubSupPr>
                        <m:ctrlPr>
                          <w:rPr>
                            <w:rFonts w:ascii="Cambria Math" w:hAnsi="Cambria Math"/>
                          </w:rPr>
                        </m:ctrlPr>
                      </m:sSubSupPr>
                      <m:e>
                        <m:r>
                          <w:rPr>
                            <w:rFonts w:ascii="Cambria Math" w:hAnsi="Cambria Math"/>
                          </w:rPr>
                          <m:t>ϕ</m:t>
                        </m:r>
                      </m:e>
                      <m:sub>
                        <m:r>
                          <w:rPr>
                            <w:rFonts w:ascii="Cambria Math" w:hAnsi="Cambria Math"/>
                          </w:rPr>
                          <m:t>R</m:t>
                        </m:r>
                      </m:sub>
                      <m:sup>
                        <m:r>
                          <w:rPr>
                            <w:rFonts w:ascii="Cambria Math" w:hAnsi="Cambria Math"/>
                          </w:rPr>
                          <m:t>j</m:t>
                        </m:r>
                      </m:sup>
                    </m:sSubSup>
                    <m:r>
                      <w:rPr>
                        <w:rFonts w:ascii="Cambria Math" w:hAnsi="Cambria Math"/>
                      </w:rPr>
                      <m:t>R</m:t>
                    </m:r>
                    <m:sSup>
                      <m:sSupPr>
                        <m:ctrlPr>
                          <w:rPr>
                            <w:rFonts w:ascii="Cambria Math" w:hAnsi="Cambria Math"/>
                          </w:rPr>
                        </m:ctrlPr>
                      </m:sSupPr>
                      <m:e>
                        <m:r>
                          <m:rPr>
                            <m:sty m:val="p"/>
                          </m:rPr>
                          <w:rPr>
                            <w:rFonts w:ascii="Cambria Math" w:hAnsi="Cambria Math"/>
                          </w:rPr>
                          <m:t xml:space="preserve"> </m:t>
                        </m:r>
                        <m:r>
                          <w:rPr>
                            <w:rFonts w:ascii="Cambria Math" w:hAnsi="Cambria Math"/>
                          </w:rPr>
                          <m:t>S</m:t>
                        </m:r>
                      </m:e>
                      <m:sup>
                        <m:r>
                          <m:rPr>
                            <m:sty m:val="p"/>
                          </m:rPr>
                          <w:rPr>
                            <w:rFonts w:ascii="Cambria Math" w:hAnsi="Cambria Math"/>
                          </w:rPr>
                          <m:t>2/3</m:t>
                        </m:r>
                      </m:sup>
                    </m:sSup>
                  </m:num>
                  <m:den>
                    <m:r>
                      <w:rPr>
                        <w:rFonts w:ascii="Cambria Math" w:hAnsi="Cambria Math"/>
                      </w:rPr>
                      <m:t>1+</m:t>
                    </m:r>
                    <m:sSubSup>
                      <m:sSubSupPr>
                        <m:ctrlPr>
                          <w:rPr>
                            <w:rFonts w:ascii="Cambria Math" w:hAnsi="Cambria Math"/>
                          </w:rPr>
                        </m:ctrlPr>
                      </m:sSubSupPr>
                      <m:e>
                        <m:r>
                          <w:rPr>
                            <w:rFonts w:ascii="Cambria Math" w:hAnsi="Cambria Math"/>
                          </w:rPr>
                          <m:t>ϕ</m:t>
                        </m:r>
                      </m:e>
                      <m:sub>
                        <m:r>
                          <w:rPr>
                            <w:rFonts w:ascii="Cambria Math" w:hAnsi="Cambria Math"/>
                          </w:rPr>
                          <m:t>R</m:t>
                        </m:r>
                      </m:sub>
                      <m:sup>
                        <m:r>
                          <w:rPr>
                            <w:rFonts w:ascii="Cambria Math" w:hAnsi="Cambria Math"/>
                          </w:rPr>
                          <m:t>j</m:t>
                        </m:r>
                      </m:sup>
                    </m:sSubSup>
                    <m:r>
                      <w:rPr>
                        <w:rFonts w:ascii="Cambria Math" w:hAnsi="Cambria Math"/>
                      </w:rPr>
                      <m:t xml:space="preserve"> h</m:t>
                    </m:r>
                    <m:r>
                      <w:rPr>
                        <w:rFonts w:ascii="Cambria Math" w:hAnsi="Cambria Math"/>
                      </w:rPr>
                      <m:t xml:space="preserve"> </m:t>
                    </m:r>
                    <m:r>
                      <w:rPr>
                        <w:rFonts w:ascii="Cambria Math" w:hAnsi="Cambria Math"/>
                      </w:rPr>
                      <m:t>R</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ρW</m:t>
                        </m:r>
                        <m:r>
                          <m:rPr>
                            <m:sty m:val="p"/>
                          </m:rPr>
                          <w:rPr>
                            <w:rFonts w:ascii="Cambria Math" w:hAnsi="Cambria Math"/>
                          </w:rPr>
                          <m:t>/</m:t>
                        </m:r>
                        <m:r>
                          <w:rPr>
                            <w:rFonts w:ascii="Cambria Math" w:hAnsi="Cambria Math"/>
                          </w:rPr>
                          <m:t>F</m:t>
                        </m:r>
                        <m:r>
                          <m:rPr>
                            <m:sty m:val="p"/>
                          </m:rPr>
                          <w:rPr>
                            <w:rFonts w:ascii="Cambria Math" w:hAnsi="Cambria Math"/>
                          </w:rPr>
                          <m:t>-1)</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γ</m:t>
                        </m:r>
                      </m:sup>
                    </m:sSup>
                  </m:num>
                  <m:den>
                    <m:sSubSup>
                      <m:sSubSupPr>
                        <m:ctrlPr>
                          <w:rPr>
                            <w:rFonts w:ascii="Cambria Math" w:hAnsi="Cambria Math"/>
                          </w:rPr>
                        </m:ctrlPr>
                      </m:sSubSupPr>
                      <m:e>
                        <m:r>
                          <w:rPr>
                            <w:rFonts w:ascii="Cambria Math" w:hAnsi="Cambria Math"/>
                          </w:rPr>
                          <m:t>T</m:t>
                        </m:r>
                      </m:e>
                      <m:sub>
                        <m:r>
                          <w:rPr>
                            <w:rFonts w:ascii="Cambria Math" w:hAnsi="Cambria Math"/>
                          </w:rPr>
                          <m:t>R</m:t>
                        </m:r>
                      </m:sub>
                      <m:sup>
                        <m:r>
                          <w:rPr>
                            <w:rFonts w:ascii="Cambria Math" w:hAnsi="Cambria Math"/>
                          </w:rPr>
                          <m:t>γ</m:t>
                        </m:r>
                      </m:sup>
                    </m:sSubSup>
                    <m:sSup>
                      <m:sSupPr>
                        <m:ctrlPr>
                          <w:rPr>
                            <w:rFonts w:ascii="Cambria Math" w:hAnsi="Cambria Math"/>
                          </w:rPr>
                        </m:ctrlPr>
                      </m:sSupPr>
                      <m:e>
                        <m:r>
                          <m:rPr>
                            <m:sty m:val="p"/>
                          </m:rPr>
                          <w:rPr>
                            <w:rFonts w:ascii="Cambria Math" w:hAnsi="Cambria Math"/>
                          </w:rPr>
                          <m:t xml:space="preserve">+ </m:t>
                        </m:r>
                        <m:r>
                          <w:rPr>
                            <w:rFonts w:ascii="Cambria Math" w:hAnsi="Cambria Math"/>
                          </w:rPr>
                          <m:t>a</m:t>
                        </m:r>
                      </m:e>
                      <m:sup>
                        <m:r>
                          <w:rPr>
                            <w:rFonts w:ascii="Cambria Math" w:hAnsi="Cambria Math"/>
                          </w:rPr>
                          <m:t>γ</m:t>
                        </m:r>
                      </m:sup>
                    </m:sSup>
                  </m:den>
                </m:f>
              </m:oMath>
            </m:oMathPara>
          </w:p>
        </w:tc>
        <w:tc>
          <w:tcPr>
            <w:tcW w:w="0" w:type="auto"/>
            <w:tcBorders>
              <w:top w:val="single" w:sz="8" w:space="0" w:color="auto"/>
              <w:bottom w:val="nil"/>
            </w:tcBorders>
            <w:vAlign w:val="center"/>
          </w:tcPr>
          <w:p w14:paraId="4E653EE9" w14:textId="4E56443C" w:rsidR="002416AF" w:rsidRPr="00556ACC" w:rsidRDefault="002416AF" w:rsidP="00FD6903">
            <w:pPr>
              <w:pStyle w:val="NoSpacing"/>
              <w:jc w:val="left"/>
            </w:pPr>
            <w:r w:rsidRPr="006C5DB2">
              <w:t xml:space="preserve">Energy assimilation rate from </w:t>
            </w:r>
            <w:r w:rsidR="0033520A">
              <w:t>prey</w:t>
            </w:r>
            <w:r w:rsidRPr="006C5DB2">
              <w:t xml:space="preserve"> feeding</w:t>
            </w:r>
            <w:r w:rsidR="00556ACC">
              <w:t xml:space="preserve"> in area </w:t>
            </w:r>
            <m:oMath>
              <m:r>
                <w:rPr>
                  <w:rFonts w:ascii="Cambria Math" w:hAnsi="Cambria Math"/>
                </w:rPr>
                <m:t>j</m:t>
              </m:r>
            </m:oMath>
          </w:p>
        </w:tc>
      </w:tr>
      <w:tr w:rsidR="002416AF" w:rsidRPr="006C5DB2" w14:paraId="7AE1B1E1" w14:textId="77777777" w:rsidTr="002416AF">
        <w:trPr>
          <w:trHeight w:val="1889"/>
        </w:trPr>
        <w:tc>
          <w:tcPr>
            <w:tcW w:w="2410" w:type="dxa"/>
            <w:tcBorders>
              <w:top w:val="nil"/>
              <w:bottom w:val="nil"/>
            </w:tcBorders>
            <w:vAlign w:val="center"/>
          </w:tcPr>
          <w:p w14:paraId="2BBE0526"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L</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e>
                </m:d>
              </m:oMath>
            </m:oMathPara>
          </w:p>
        </w:tc>
        <w:tc>
          <w:tcPr>
            <w:tcW w:w="4445" w:type="dxa"/>
            <w:tcBorders>
              <w:top w:val="nil"/>
              <w:bottom w:val="nil"/>
            </w:tcBorders>
            <w:vAlign w:val="center"/>
          </w:tcPr>
          <w:p w14:paraId="33D85CF2"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ϕ</m:t>
                    </m:r>
                  </m:e>
                  <m:sub>
                    <m:r>
                      <w:rPr>
                        <w:rFonts w:ascii="Cambria Math" w:hAnsi="Cambria Math"/>
                      </w:rPr>
                      <m:t>L</m:t>
                    </m:r>
                  </m:sub>
                </m:sSub>
                <m:sSup>
                  <m:sSupPr>
                    <m:ctrlPr>
                      <w:rPr>
                        <w:rFonts w:ascii="Cambria Math" w:hAnsi="Cambria Math"/>
                      </w:rPr>
                    </m:ctrlPr>
                  </m:sSupPr>
                  <m:e>
                    <m:r>
                      <w:rPr>
                        <w:rFonts w:ascii="Cambria Math" w:hAnsi="Cambria Math"/>
                      </w:rPr>
                      <m:t>S</m:t>
                    </m:r>
                  </m:e>
                  <m:sup>
                    <m:r>
                      <m:rPr>
                        <m:sty m:val="p"/>
                      </m:rPr>
                      <w:rPr>
                        <w:rFonts w:ascii="Cambria Math" w:hAnsi="Cambria Math"/>
                      </w:rPr>
                      <m:t>2/3</m:t>
                    </m:r>
                  </m:sup>
                </m:sSup>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m</m:t>
                                    </m:r>
                                  </m:sub>
                                </m:sSub>
                              </m:e>
                            </m:d>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s</m:t>
                                    </m:r>
                                  </m:sub>
                                </m:sSub>
                                <m:sSub>
                                  <m:sSubPr>
                                    <m:ctrlPr>
                                      <w:rPr>
                                        <w:rFonts w:ascii="Cambria Math" w:hAnsi="Cambria Math"/>
                                      </w:rPr>
                                    </m:ctrlPr>
                                  </m:sSubPr>
                                  <m:e>
                                    <m:r>
                                      <w:rPr>
                                        <w:rFonts w:ascii="Cambria Math" w:hAnsi="Cambria Math"/>
                                      </w:rPr>
                                      <m:t>W</m:t>
                                    </m:r>
                                  </m:e>
                                  <m:sub>
                                    <m:r>
                                      <w:rPr>
                                        <w:rFonts w:ascii="Cambria Math" w:hAnsi="Cambria Math"/>
                                      </w:rPr>
                                      <m:t>m</m:t>
                                    </m:r>
                                  </m:sub>
                                </m:sSub>
                              </m:e>
                            </m:d>
                          </m:num>
                          <m:den>
                            <m:d>
                              <m:dPr>
                                <m:ctrlPr>
                                  <w:rPr>
                                    <w:rFonts w:ascii="Cambria Math" w:hAnsi="Cambria Math"/>
                                  </w:rPr>
                                </m:ctrlPr>
                              </m:dPr>
                              <m:e>
                                <m:r>
                                  <w:rPr>
                                    <w:rFonts w:ascii="Cambria Math" w:hAnsi="Cambria Math"/>
                                  </w:rPr>
                                  <m:t>ρ</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s</m:t>
                                    </m:r>
                                  </m:sub>
                                </m:sSub>
                              </m:e>
                            </m:d>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s</m:t>
                                    </m:r>
                                  </m:sub>
                                </m:sSub>
                                <m:sSub>
                                  <m:sSubPr>
                                    <m:ctrlPr>
                                      <w:rPr>
                                        <w:rFonts w:ascii="Cambria Math" w:hAnsi="Cambria Math"/>
                                      </w:rPr>
                                    </m:ctrlPr>
                                  </m:sSubPr>
                                  <m:e>
                                    <m:r>
                                      <w:rPr>
                                        <w:rFonts w:ascii="Cambria Math" w:hAnsi="Cambria Math"/>
                                      </w:rPr>
                                      <m:t>W</m:t>
                                    </m:r>
                                  </m:e>
                                  <m:sub>
                                    <m:r>
                                      <w:rPr>
                                        <w:rFonts w:ascii="Cambria Math" w:hAnsi="Cambria Math"/>
                                      </w:rPr>
                                      <m:t>m</m:t>
                                    </m:r>
                                  </m:sub>
                                </m:sSub>
                              </m:e>
                            </m:d>
                          </m:den>
                        </m:f>
                      </m:e>
                    </m:d>
                  </m:e>
                  <m:sub>
                    <m:r>
                      <m:rPr>
                        <m:sty m:val="p"/>
                      </m:rPr>
                      <w:rPr>
                        <w:rFonts w:ascii="Cambria Math" w:hAnsi="Cambria Math"/>
                      </w:rPr>
                      <m:t>+</m:t>
                    </m:r>
                  </m:sub>
                </m:sSub>
                <m:r>
                  <m:rPr>
                    <m:sty m:val="p"/>
                  </m:rPr>
                  <w:rPr>
                    <w:rFonts w:ascii="Cambria Math" w:hAnsi="Cambria Math"/>
                  </w:rPr>
                  <m:t>∙</m:t>
                </m:r>
              </m:oMath>
            </m:oMathPara>
          </w:p>
          <w:p w14:paraId="0E727719" w14:textId="77777777" w:rsidR="002416AF" w:rsidRPr="006C5DB2" w:rsidRDefault="00C16EB1" w:rsidP="00E42F52">
            <w:pPr>
              <w:pStyle w:val="NoSpacing"/>
              <w:rPr>
                <w:rFonts w:eastAsia="Cambria"/>
                <w:lang w:val="nl-NL"/>
              </w:rPr>
            </w:pPr>
            <m:oMathPara>
              <m:oMathParaPr>
                <m:jc m:val="left"/>
              </m:oMathParaPr>
              <m:oMath>
                <m:f>
                  <m:fPr>
                    <m:ctrlPr>
                      <w:rPr>
                        <w:rFonts w:ascii="Cambria Math" w:hAnsi="Cambria Math"/>
                      </w:rPr>
                    </m:ctrlPr>
                  </m:fPr>
                  <m:num>
                    <m:r>
                      <m:rPr>
                        <m:sty m:val="p"/>
                      </m:rPr>
                      <w:rPr>
                        <w:rFonts w:ascii="Cambria Math" w:hAnsi="Cambria Math"/>
                        <w:lang w:val="nl-NL"/>
                      </w:rPr>
                      <m:t>1</m:t>
                    </m:r>
                  </m:num>
                  <m:den>
                    <m:r>
                      <m:rPr>
                        <m:sty m:val="p"/>
                      </m:rPr>
                      <w:rPr>
                        <w:rFonts w:ascii="Cambria Math" w:hAnsi="Cambria Math"/>
                        <w:lang w:val="nl-NL"/>
                      </w:rPr>
                      <m:t>1+</m:t>
                    </m:r>
                    <m:sSup>
                      <m:sSupPr>
                        <m:ctrlPr>
                          <w:rPr>
                            <w:rFonts w:ascii="Cambria Math" w:hAnsi="Cambria Math"/>
                          </w:rPr>
                        </m:ctrlPr>
                      </m:sSupPr>
                      <m:e>
                        <m:r>
                          <w:rPr>
                            <w:rFonts w:ascii="Cambria Math" w:hAnsi="Cambria Math"/>
                          </w:rPr>
                          <m:t>e</m:t>
                        </m:r>
                      </m:e>
                      <m:sup>
                        <m:r>
                          <m:rPr>
                            <m:sty m:val="p"/>
                          </m:rPr>
                          <w:rPr>
                            <w:rFonts w:ascii="Cambria Math" w:hAnsi="Cambria Math"/>
                            <w:lang w:val="nl-NL"/>
                          </w:rPr>
                          <m:t>-</m:t>
                        </m:r>
                        <m:r>
                          <w:rPr>
                            <w:rFonts w:ascii="Cambria Math" w:hAnsi="Cambria Math"/>
                          </w:rPr>
                          <m:t>η</m:t>
                        </m:r>
                        <m:r>
                          <m:rPr>
                            <m:sty m:val="p"/>
                          </m:rPr>
                          <w:rPr>
                            <w:rFonts w:ascii="Cambria Math" w:hAnsi="Cambria Math"/>
                            <w:lang w:val="nl-NL"/>
                          </w:rPr>
                          <m:t>(</m:t>
                        </m:r>
                        <m:r>
                          <w:rPr>
                            <w:rFonts w:ascii="Cambria Math" w:hAnsi="Cambria Math"/>
                          </w:rPr>
                          <m:t>ρW</m:t>
                        </m:r>
                        <m:r>
                          <m:rPr>
                            <m:sty m:val="p"/>
                          </m:rPr>
                          <w:rPr>
                            <w:rFonts w:ascii="Cambria Math" w:hAnsi="Cambria Math"/>
                            <w:lang w:val="nl-NL"/>
                          </w:rPr>
                          <m:t>/</m:t>
                        </m:r>
                        <m:r>
                          <w:rPr>
                            <w:rFonts w:ascii="Cambria Math" w:hAnsi="Cambria Math"/>
                          </w:rPr>
                          <m:t>F</m:t>
                        </m:r>
                        <m:r>
                          <m:rPr>
                            <m:sty m:val="p"/>
                          </m:rPr>
                          <w:rPr>
                            <w:rFonts w:ascii="Cambria Math" w:hAnsi="Cambria Math"/>
                            <w:lang w:val="nl-NL"/>
                          </w:rPr>
                          <m:t>-1)</m:t>
                        </m:r>
                      </m:sup>
                    </m:sSup>
                  </m:den>
                </m:f>
                <m:r>
                  <m:rPr>
                    <m:nor/>
                  </m:rPr>
                  <w:rPr>
                    <w:lang w:val="nl-NL"/>
                  </w:rPr>
                  <m:t>min</m:t>
                </m:r>
                <m:d>
                  <m:dPr>
                    <m:ctrlPr>
                      <w:rPr>
                        <w:rFonts w:ascii="Cambria Math" w:hAnsi="Cambria Math"/>
                      </w:rPr>
                    </m:ctrlPr>
                  </m:dPr>
                  <m:e>
                    <m:r>
                      <m:rPr>
                        <m:sty m:val="p"/>
                      </m:rPr>
                      <w:rPr>
                        <w:rFonts w:ascii="Cambria Math" w:hAnsi="Cambria Math"/>
                        <w:lang w:val="nl-NL"/>
                      </w:rPr>
                      <m:t>1,</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lang w:val="nl-NL"/>
                                  </w:rPr>
                                  <m:t>1-</m:t>
                                </m:r>
                                <m:f>
                                  <m:fPr>
                                    <m:ctrlPr>
                                      <w:rPr>
                                        <w:rFonts w:ascii="Cambria Math" w:hAnsi="Cambria Math"/>
                                      </w:rPr>
                                    </m:ctrlPr>
                                  </m:fPr>
                                  <m:num>
                                    <m:r>
                                      <w:rPr>
                                        <w:rFonts w:ascii="Cambria Math" w:hAnsi="Cambria Math"/>
                                      </w:rPr>
                                      <m:t>a</m:t>
                                    </m:r>
                                    <m:r>
                                      <m:rPr>
                                        <m:sty m:val="p"/>
                                      </m:rPr>
                                      <w:rPr>
                                        <w:rFonts w:ascii="Cambria Math" w:hAnsi="Cambria Math"/>
                                        <w:lang w:val="nl-NL"/>
                                      </w:rPr>
                                      <m:t>-</m:t>
                                    </m:r>
                                    <m:sSub>
                                      <m:sSubPr>
                                        <m:ctrlPr>
                                          <w:rPr>
                                            <w:rFonts w:ascii="Cambria Math" w:hAnsi="Cambria Math"/>
                                          </w:rPr>
                                        </m:ctrlPr>
                                      </m:sSubPr>
                                      <m:e>
                                        <m:r>
                                          <w:rPr>
                                            <w:rFonts w:ascii="Cambria Math" w:hAnsi="Cambria Math"/>
                                          </w:rPr>
                                          <m:t>T</m:t>
                                        </m:r>
                                      </m:e>
                                      <m:sub>
                                        <m:r>
                                          <w:rPr>
                                            <w:rFonts w:ascii="Cambria Math" w:hAnsi="Cambria Math"/>
                                          </w:rPr>
                                          <m:t>N</m:t>
                                        </m:r>
                                      </m:sub>
                                    </m:sSub>
                                  </m:num>
                                  <m:den>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lang w:val="nl-NL"/>
                                      </w:rPr>
                                      <m:t>-</m:t>
                                    </m:r>
                                    <m:sSub>
                                      <m:sSubPr>
                                        <m:ctrlPr>
                                          <w:rPr>
                                            <w:rFonts w:ascii="Cambria Math" w:hAnsi="Cambria Math"/>
                                          </w:rPr>
                                        </m:ctrlPr>
                                      </m:sSubPr>
                                      <m:e>
                                        <m:r>
                                          <w:rPr>
                                            <w:rFonts w:ascii="Cambria Math" w:hAnsi="Cambria Math"/>
                                          </w:rPr>
                                          <m:t>T</m:t>
                                        </m:r>
                                      </m:e>
                                      <m:sub>
                                        <m:r>
                                          <w:rPr>
                                            <w:rFonts w:ascii="Cambria Math" w:hAnsi="Cambria Math"/>
                                          </w:rPr>
                                          <m:t>N</m:t>
                                        </m:r>
                                      </m:sub>
                                    </m:sSub>
                                  </m:den>
                                </m:f>
                              </m:num>
                              <m:den>
                                <m:r>
                                  <m:rPr>
                                    <m:sty m:val="p"/>
                                  </m:rPr>
                                  <w:rPr>
                                    <w:rFonts w:ascii="Cambria Math" w:hAnsi="Cambria Math"/>
                                    <w:lang w:val="nl-NL"/>
                                  </w:rPr>
                                  <m:t>1-</m:t>
                                </m:r>
                                <m:sSub>
                                  <m:sSubPr>
                                    <m:ctrlPr>
                                      <w:rPr>
                                        <w:rFonts w:ascii="Cambria Math" w:hAnsi="Cambria Math"/>
                                      </w:rPr>
                                    </m:ctrlPr>
                                  </m:sSubPr>
                                  <m:e>
                                    <m:r>
                                      <w:rPr>
                                        <w:rFonts w:ascii="Cambria Math" w:hAnsi="Cambria Math"/>
                                      </w:rPr>
                                      <m:t>ξ</m:t>
                                    </m:r>
                                  </m:e>
                                  <m:sub>
                                    <m:r>
                                      <w:rPr>
                                        <w:rFonts w:ascii="Cambria Math" w:hAnsi="Cambria Math"/>
                                      </w:rPr>
                                      <m:t>c</m:t>
                                    </m:r>
                                  </m:sub>
                                </m:sSub>
                                <m:f>
                                  <m:fPr>
                                    <m:ctrlPr>
                                      <w:rPr>
                                        <w:rFonts w:ascii="Cambria Math" w:hAnsi="Cambria Math"/>
                                      </w:rPr>
                                    </m:ctrlPr>
                                  </m:fPr>
                                  <m:num>
                                    <m:r>
                                      <w:rPr>
                                        <w:rFonts w:ascii="Cambria Math" w:hAnsi="Cambria Math"/>
                                      </w:rPr>
                                      <m:t>a</m:t>
                                    </m:r>
                                    <m:r>
                                      <m:rPr>
                                        <m:sty m:val="p"/>
                                      </m:rPr>
                                      <w:rPr>
                                        <w:rFonts w:ascii="Cambria Math" w:hAnsi="Cambria Math"/>
                                        <w:lang w:val="nl-NL"/>
                                      </w:rPr>
                                      <m:t>-</m:t>
                                    </m:r>
                                    <m:sSub>
                                      <m:sSubPr>
                                        <m:ctrlPr>
                                          <w:rPr>
                                            <w:rFonts w:ascii="Cambria Math" w:hAnsi="Cambria Math"/>
                                          </w:rPr>
                                        </m:ctrlPr>
                                      </m:sSubPr>
                                      <m:e>
                                        <m:r>
                                          <w:rPr>
                                            <w:rFonts w:ascii="Cambria Math" w:hAnsi="Cambria Math"/>
                                          </w:rPr>
                                          <m:t>T</m:t>
                                        </m:r>
                                      </m:e>
                                      <m:sub>
                                        <m:r>
                                          <w:rPr>
                                            <w:rFonts w:ascii="Cambria Math" w:hAnsi="Cambria Math"/>
                                          </w:rPr>
                                          <m:t>N</m:t>
                                        </m:r>
                                      </m:sub>
                                    </m:sSub>
                                  </m:num>
                                  <m:den>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lang w:val="nl-NL"/>
                                      </w:rPr>
                                      <m:t>-</m:t>
                                    </m:r>
                                    <m:sSub>
                                      <m:sSubPr>
                                        <m:ctrlPr>
                                          <w:rPr>
                                            <w:rFonts w:ascii="Cambria Math" w:hAnsi="Cambria Math"/>
                                          </w:rPr>
                                        </m:ctrlPr>
                                      </m:sSubPr>
                                      <m:e>
                                        <m:r>
                                          <w:rPr>
                                            <w:rFonts w:ascii="Cambria Math" w:hAnsi="Cambria Math"/>
                                          </w:rPr>
                                          <m:t>T</m:t>
                                        </m:r>
                                      </m:e>
                                      <m:sub>
                                        <m:r>
                                          <w:rPr>
                                            <w:rFonts w:ascii="Cambria Math" w:hAnsi="Cambria Math"/>
                                          </w:rPr>
                                          <m:t>N</m:t>
                                        </m:r>
                                      </m:sub>
                                    </m:sSub>
                                  </m:den>
                                </m:f>
                              </m:den>
                            </m:f>
                          </m:e>
                        </m:d>
                      </m:e>
                      <m:sub>
                        <m:r>
                          <m:rPr>
                            <m:sty m:val="p"/>
                          </m:rPr>
                          <w:rPr>
                            <w:rFonts w:ascii="Cambria Math" w:hAnsi="Cambria Math"/>
                            <w:lang w:val="nl-NL"/>
                          </w:rPr>
                          <m:t>+</m:t>
                        </m:r>
                      </m:sub>
                    </m:sSub>
                  </m:e>
                </m:d>
              </m:oMath>
            </m:oMathPara>
          </w:p>
        </w:tc>
        <w:tc>
          <w:tcPr>
            <w:tcW w:w="0" w:type="auto"/>
            <w:tcBorders>
              <w:top w:val="nil"/>
              <w:bottom w:val="nil"/>
            </w:tcBorders>
            <w:vAlign w:val="center"/>
          </w:tcPr>
          <w:p w14:paraId="584FC2FC" w14:textId="77777777" w:rsidR="002416AF" w:rsidRPr="006C5DB2" w:rsidRDefault="002416AF" w:rsidP="00FD6903">
            <w:pPr>
              <w:pStyle w:val="NoSpacing"/>
              <w:jc w:val="left"/>
            </w:pPr>
            <w:r w:rsidRPr="006C5DB2">
              <w:t>Energy assimilation rate from milk</w:t>
            </w:r>
          </w:p>
        </w:tc>
      </w:tr>
      <w:tr w:rsidR="002416AF" w:rsidRPr="006C5DB2" w14:paraId="3FA45B8D" w14:textId="77777777" w:rsidTr="002416AF">
        <w:tc>
          <w:tcPr>
            <w:tcW w:w="2410" w:type="dxa"/>
            <w:tcBorders>
              <w:top w:val="nil"/>
            </w:tcBorders>
            <w:vAlign w:val="center"/>
          </w:tcPr>
          <w:p w14:paraId="3F71F162"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m:t>
                        </m:r>
                      </m:sub>
                    </m:sSub>
                  </m:e>
                </m:d>
              </m:oMath>
            </m:oMathPara>
          </w:p>
        </w:tc>
        <w:tc>
          <w:tcPr>
            <w:tcW w:w="4445" w:type="dxa"/>
            <w:tcBorders>
              <w:top w:val="nil"/>
            </w:tcBorders>
            <w:vAlign w:val="center"/>
          </w:tcPr>
          <w:p w14:paraId="11462521"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σ</m:t>
                    </m:r>
                  </m:e>
                  <m:sub>
                    <m:r>
                      <w:rPr>
                        <w:rFonts w:ascii="Cambria Math" w:hAnsi="Cambria Math"/>
                      </w:rPr>
                      <m:t>M</m:t>
                    </m:r>
                  </m:sub>
                </m:sSub>
                <m:sSubSup>
                  <m:sSubSupPr>
                    <m:ctrlPr>
                      <w:rPr>
                        <w:rFonts w:ascii="Cambria Math" w:hAnsi="Cambria Math"/>
                      </w:rPr>
                    </m:ctrlPr>
                  </m:sSubSupPr>
                  <m:e>
                    <m:r>
                      <w:rPr>
                        <w:rFonts w:ascii="Cambria Math" w:hAnsi="Cambria Math"/>
                      </w:rPr>
                      <m:t>W</m:t>
                    </m:r>
                  </m:e>
                  <m:sub>
                    <m:r>
                      <w:rPr>
                        <w:rFonts w:ascii="Cambria Math" w:hAnsi="Cambria Math"/>
                      </w:rPr>
                      <m:t>M</m:t>
                    </m:r>
                  </m:sub>
                  <m:sup>
                    <m:r>
                      <m:rPr>
                        <m:sty m:val="p"/>
                      </m:rPr>
                      <w:rPr>
                        <w:rFonts w:ascii="Cambria Math" w:hAnsi="Cambria Math"/>
                      </w:rPr>
                      <m:t>3/4</m:t>
                    </m:r>
                  </m:sup>
                </m:sSubSup>
              </m:oMath>
            </m:oMathPara>
          </w:p>
        </w:tc>
        <w:tc>
          <w:tcPr>
            <w:tcW w:w="0" w:type="auto"/>
            <w:tcBorders>
              <w:top w:val="nil"/>
            </w:tcBorders>
            <w:vAlign w:val="center"/>
          </w:tcPr>
          <w:p w14:paraId="4B0B2560" w14:textId="77777777" w:rsidR="002416AF" w:rsidRPr="006C5DB2" w:rsidRDefault="002416AF" w:rsidP="00FD6903">
            <w:pPr>
              <w:pStyle w:val="NoSpacing"/>
              <w:jc w:val="left"/>
            </w:pPr>
            <w:r w:rsidRPr="006C5DB2">
              <w:t>Field metabolic costs</w:t>
            </w:r>
          </w:p>
        </w:tc>
      </w:tr>
      <w:tr w:rsidR="002416AF" w:rsidRPr="006C5DB2" w14:paraId="117729DE" w14:textId="77777777" w:rsidTr="002416AF">
        <w:tc>
          <w:tcPr>
            <w:tcW w:w="2410" w:type="dxa"/>
            <w:vAlign w:val="center"/>
          </w:tcPr>
          <w:p w14:paraId="1F58FC47"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G</m:t>
                    </m:r>
                  </m:sub>
                </m:sSub>
                <m:d>
                  <m:dPr>
                    <m:ctrlPr>
                      <w:rPr>
                        <w:rFonts w:ascii="Cambria Math" w:hAnsi="Cambria Math"/>
                      </w:rPr>
                    </m:ctrlPr>
                  </m:dPr>
                  <m:e>
                    <m:r>
                      <w:rPr>
                        <w:rFonts w:ascii="Cambria Math" w:hAnsi="Cambria Math"/>
                      </w:rPr>
                      <m:t>S</m:t>
                    </m:r>
                  </m:e>
                </m:d>
              </m:oMath>
            </m:oMathPara>
          </w:p>
        </w:tc>
        <w:tc>
          <w:tcPr>
            <w:tcW w:w="4445" w:type="dxa"/>
            <w:vAlign w:val="center"/>
          </w:tcPr>
          <w:p w14:paraId="33D2F148"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σ</m:t>
                    </m:r>
                  </m:e>
                  <m:sub>
                    <m:r>
                      <w:rPr>
                        <w:rFonts w:ascii="Cambria Math" w:hAnsi="Cambria Math"/>
                      </w:rPr>
                      <m:t>G</m:t>
                    </m:r>
                  </m:sub>
                </m:sSub>
                <m:sSub>
                  <m:sSubPr>
                    <m:ctrlPr>
                      <w:rPr>
                        <w:rFonts w:ascii="Cambria Math" w:hAnsi="Cambria Math"/>
                      </w:rPr>
                    </m:ctrlPr>
                  </m:sSubPr>
                  <m:e>
                    <m:r>
                      <w:rPr>
                        <w:rFonts w:ascii="Cambria Math" w:hAnsi="Cambria Math"/>
                      </w:rPr>
                      <m:t>ω</m:t>
                    </m:r>
                  </m:e>
                  <m:sub>
                    <m:r>
                      <m:rPr>
                        <m:sty m:val="p"/>
                      </m:rPr>
                      <w:rPr>
                        <w:rFonts w:ascii="Cambria Math" w:hAnsi="Cambria Math"/>
                      </w:rPr>
                      <m:t>1</m:t>
                    </m:r>
                  </m:sub>
                </m:sSub>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r>
                      <w:rPr>
                        <w:rFonts w:ascii="Cambria Math" w:hAnsi="Cambria Math"/>
                      </w:rPr>
                      <m:t>l</m:t>
                    </m:r>
                  </m:e>
                </m:d>
                <m:sSub>
                  <m:sSubPr>
                    <m:ctrlPr>
                      <w:rPr>
                        <w:rFonts w:ascii="Cambria Math" w:hAnsi="Cambria Math"/>
                      </w:rPr>
                    </m:ctrlPr>
                  </m:sSubPr>
                  <m:e>
                    <m:r>
                      <w:rPr>
                        <w:rFonts w:ascii="Cambria Math" w:hAnsi="Cambria Math"/>
                      </w:rPr>
                      <m:t>ω</m:t>
                    </m:r>
                  </m:e>
                  <m:sub>
                    <m:r>
                      <m:rPr>
                        <m:sty m:val="p"/>
                      </m:rPr>
                      <w:rPr>
                        <w:rFonts w:ascii="Cambria Math" w:hAnsi="Cambria Math"/>
                      </w:rPr>
                      <m:t>2</m:t>
                    </m:r>
                  </m:sub>
                </m:sSub>
                <m:sSup>
                  <m:sSupPr>
                    <m:ctrlPr>
                      <w:rPr>
                        <w:rFonts w:ascii="Cambria Math" w:hAnsi="Cambria Math"/>
                      </w:rPr>
                    </m:ctrlPr>
                  </m:sSupPr>
                  <m:e>
                    <m:r>
                      <w:rPr>
                        <w:rFonts w:ascii="Cambria Math" w:hAnsi="Cambria Math"/>
                      </w:rPr>
                      <m:t>l</m:t>
                    </m:r>
                  </m:e>
                  <m:sup>
                    <m:sSub>
                      <m:sSubPr>
                        <m:ctrlPr>
                          <w:rPr>
                            <w:rFonts w:ascii="Cambria Math" w:hAnsi="Cambria Math"/>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-1</m:t>
                    </m:r>
                  </m:sup>
                </m:sSup>
              </m:oMath>
            </m:oMathPara>
          </w:p>
        </w:tc>
        <w:tc>
          <w:tcPr>
            <w:tcW w:w="0" w:type="auto"/>
            <w:vAlign w:val="center"/>
          </w:tcPr>
          <w:p w14:paraId="3E7F278E" w14:textId="77777777" w:rsidR="002416AF" w:rsidRPr="006C5DB2" w:rsidRDefault="002416AF" w:rsidP="00FD6903">
            <w:pPr>
              <w:pStyle w:val="NoSpacing"/>
              <w:jc w:val="left"/>
            </w:pPr>
            <w:r w:rsidRPr="006C5DB2">
              <w:t>Somatic growth costs</w:t>
            </w:r>
          </w:p>
        </w:tc>
      </w:tr>
      <w:tr w:rsidR="002416AF" w:rsidRPr="006C5DB2" w14:paraId="1F46C704" w14:textId="77777777" w:rsidTr="002416AF">
        <w:tc>
          <w:tcPr>
            <w:tcW w:w="2410" w:type="dxa"/>
            <w:vAlign w:val="center"/>
          </w:tcPr>
          <w:p w14:paraId="238DEF09"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p</m:t>
                        </m:r>
                      </m:sub>
                    </m:sSub>
                  </m:e>
                </m:d>
              </m:oMath>
            </m:oMathPara>
          </w:p>
        </w:tc>
        <w:tc>
          <w:tcPr>
            <w:tcW w:w="4445" w:type="dxa"/>
            <w:vAlign w:val="center"/>
          </w:tcPr>
          <w:p w14:paraId="1717E764" w14:textId="7369C421"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σ</m:t>
                    </m:r>
                  </m:e>
                  <m:sub>
                    <m:r>
                      <w:rPr>
                        <w:rFonts w:ascii="Cambria Math" w:hAnsi="Cambria Math"/>
                      </w:rPr>
                      <m:t>G</m:t>
                    </m:r>
                  </m:sub>
                </m:sSub>
                <m:sSub>
                  <m:sSubPr>
                    <m:ctrlPr>
                      <w:rPr>
                        <w:rFonts w:ascii="Cambria Math" w:hAnsi="Cambria Math"/>
                      </w:rPr>
                    </m:ctrlPr>
                  </m:sSubPr>
                  <m:e>
                    <m:r>
                      <w:rPr>
                        <w:rFonts w:ascii="Cambria Math" w:hAnsi="Cambria Math"/>
                      </w:rPr>
                      <m:t>ω</m:t>
                    </m:r>
                  </m:e>
                  <m:sub>
                    <m:r>
                      <m:rPr>
                        <m:sty m:val="p"/>
                      </m:rPr>
                      <w:rPr>
                        <w:rFonts w:ascii="Cambria Math" w:hAnsi="Cambria Math"/>
                      </w:rPr>
                      <m:t>1</m:t>
                    </m:r>
                  </m:sub>
                </m:sSub>
                <m:sSub>
                  <m:sSubPr>
                    <m:ctrlPr>
                      <w:rPr>
                        <w:rFonts w:ascii="Cambria Math" w:hAnsi="Cambria Math"/>
                      </w:rPr>
                    </m:ctrlPr>
                  </m:sSubPr>
                  <m:e>
                    <m:r>
                      <w:rPr>
                        <w:rFonts w:ascii="Cambria Math" w:hAnsi="Cambria Math"/>
                      </w:rPr>
                      <m:t>ω</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b</m:t>
                                </m:r>
                              </m:sub>
                            </m:sSub>
                          </m:num>
                          <m:den>
                            <m:sSub>
                              <m:sSubPr>
                                <m:ctrlPr>
                                  <w:rPr>
                                    <w:rFonts w:ascii="Cambria Math" w:hAnsi="Cambria Math"/>
                                  </w:rPr>
                                </m:ctrlPr>
                              </m:sSubPr>
                              <m:e>
                                <m:r>
                                  <w:rPr>
                                    <w:rFonts w:ascii="Cambria Math" w:hAnsi="Cambria Math"/>
                                  </w:rPr>
                                  <m:t>T</m:t>
                                </m:r>
                              </m:e>
                              <m:sub>
                                <m:r>
                                  <w:rPr>
                                    <w:rFonts w:ascii="Cambria Math" w:hAnsi="Cambria Math"/>
                                  </w:rPr>
                                  <m:t>P</m:t>
                                </m:r>
                              </m:sub>
                            </m:sSub>
                          </m:den>
                        </m:f>
                      </m:e>
                    </m:d>
                  </m:e>
                  <m:sup>
                    <m:sSub>
                      <m:sSubPr>
                        <m:ctrlPr>
                          <w:rPr>
                            <w:rFonts w:ascii="Cambria Math" w:hAnsi="Cambria Math"/>
                          </w:rPr>
                        </m:ctrlPr>
                      </m:sSubPr>
                      <m:e>
                        <m:r>
                          <w:rPr>
                            <w:rFonts w:ascii="Cambria Math" w:hAnsi="Cambria Math"/>
                          </w:rPr>
                          <m:t>ω</m:t>
                        </m:r>
                      </m:e>
                      <m:sub>
                        <m:r>
                          <m:rPr>
                            <m:sty m:val="p"/>
                          </m:rPr>
                          <w:rPr>
                            <w:rFonts w:ascii="Cambria Math" w:hAnsi="Cambria Math"/>
                          </w:rPr>
                          <m:t>2</m:t>
                        </m:r>
                      </m:sub>
                    </m:sSub>
                  </m:sup>
                </m:sSup>
                <m:sSup>
                  <m:sSupPr>
                    <m:ctrlPr>
                      <w:rPr>
                        <w:rFonts w:ascii="Cambria Math" w:hAnsi="Cambria Math"/>
                      </w:rPr>
                    </m:ctrlPr>
                  </m:sSupPr>
                  <m:e>
                    <m:sSub>
                      <m:sSubPr>
                        <m:ctrlPr>
                          <w:rPr>
                            <w:rFonts w:ascii="Cambria Math" w:hAnsi="Cambria Math"/>
                          </w:rPr>
                        </m:ctrlPr>
                      </m:sSubPr>
                      <m:e>
                        <m:r>
                          <w:rPr>
                            <w:rFonts w:ascii="Cambria Math" w:hAnsi="Cambria Math"/>
                          </w:rPr>
                          <m:t>τ</m:t>
                        </m:r>
                      </m:e>
                      <m:sub>
                        <m:r>
                          <w:rPr>
                            <w:rFonts w:ascii="Cambria Math" w:hAnsi="Cambria Math"/>
                          </w:rPr>
                          <m:t>p</m:t>
                        </m:r>
                      </m:sub>
                    </m:sSub>
                  </m:e>
                  <m:sup>
                    <m:sSub>
                      <m:sSubPr>
                        <m:ctrlPr>
                          <w:rPr>
                            <w:rFonts w:ascii="Cambria Math" w:hAnsi="Cambria Math"/>
                          </w:rPr>
                        </m:ctrlPr>
                      </m:sSubPr>
                      <m:e>
                        <m:r>
                          <w:rPr>
                            <w:rFonts w:ascii="Cambria Math" w:hAnsi="Cambria Math"/>
                          </w:rPr>
                          <m:t>ω</m:t>
                        </m:r>
                      </m:e>
                      <m:sub>
                        <m:r>
                          <m:rPr>
                            <m:sty m:val="p"/>
                          </m:rPr>
                          <w:rPr>
                            <w:rFonts w:ascii="Cambria Math" w:hAnsi="Cambria Math"/>
                          </w:rPr>
                          <m:t>2</m:t>
                        </m:r>
                      </m:sub>
                    </m:sSub>
                    <m:r>
                      <m:rPr>
                        <m:sty m:val="p"/>
                      </m:rPr>
                      <w:rPr>
                        <w:rFonts w:ascii="Cambria Math" w:hAnsi="Cambria Math"/>
                      </w:rPr>
                      <m:t>-1</m:t>
                    </m:r>
                  </m:sup>
                </m:sSup>
                <m:r>
                  <m:rPr>
                    <m:sty m:val="p"/>
                  </m:rPr>
                  <w:rPr>
                    <w:rFonts w:ascii="Cambria Math" w:hAnsi="Cambria Math"/>
                  </w:rPr>
                  <m:t xml:space="preserve">,        for </m:t>
                </m:r>
                <m:r>
                  <m:rPr>
                    <m:sty m:val="p"/>
                  </m:rPr>
                  <w:rPr>
                    <w:rFonts w:ascii="Cambria Math" w:eastAsiaTheme="minorEastAsia" w:hAnsi="Cambria Math"/>
                  </w:rPr>
                  <m:t>0≤</m:t>
                </m:r>
                <m:sSub>
                  <m:sSubPr>
                    <m:ctrlPr>
                      <w:rPr>
                        <w:rFonts w:ascii="Cambria Math" w:hAnsi="Cambria Math"/>
                      </w:rPr>
                    </m:ctrlPr>
                  </m:sSubPr>
                  <m:e>
                    <m:r>
                      <w:rPr>
                        <w:rFonts w:ascii="Cambria Math" w:hAnsi="Cambria Math"/>
                      </w:rPr>
                      <m:t>τ</m:t>
                    </m:r>
                  </m:e>
                  <m:sub>
                    <m:r>
                      <w:rPr>
                        <w:rFonts w:ascii="Cambria Math" w:hAnsi="Cambria Math"/>
                      </w:rPr>
                      <m:t>p</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oMath>
            </m:oMathPara>
          </w:p>
        </w:tc>
        <w:tc>
          <w:tcPr>
            <w:tcW w:w="0" w:type="auto"/>
            <w:vAlign w:val="center"/>
          </w:tcPr>
          <w:p w14:paraId="0B14A6DF" w14:textId="77777777" w:rsidR="002416AF" w:rsidRPr="006C5DB2" w:rsidRDefault="002416AF" w:rsidP="00FD6903">
            <w:pPr>
              <w:pStyle w:val="NoSpacing"/>
              <w:jc w:val="left"/>
            </w:pPr>
            <w:r w:rsidRPr="006C5DB2">
              <w:t>Pregnancy costs</w:t>
            </w:r>
          </w:p>
        </w:tc>
      </w:tr>
      <w:tr w:rsidR="002416AF" w:rsidRPr="006C5DB2" w14:paraId="384232ED" w14:textId="77777777" w:rsidTr="002416AF">
        <w:tc>
          <w:tcPr>
            <w:tcW w:w="2410" w:type="dxa"/>
            <w:tcBorders>
              <w:bottom w:val="single" w:sz="8" w:space="0" w:color="auto"/>
            </w:tcBorders>
            <w:vAlign w:val="center"/>
          </w:tcPr>
          <w:p w14:paraId="794DA244"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L</m:t>
                    </m:r>
                  </m:sub>
                </m:sSub>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e>
                </m:d>
              </m:oMath>
            </m:oMathPara>
          </w:p>
        </w:tc>
        <w:tc>
          <w:tcPr>
            <w:tcW w:w="4445" w:type="dxa"/>
            <w:tcBorders>
              <w:bottom w:val="single" w:sz="8" w:space="0" w:color="auto"/>
            </w:tcBorders>
            <w:vAlign w:val="center"/>
          </w:tcPr>
          <w:p w14:paraId="32570549"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oMath>
            </m:oMathPara>
          </w:p>
        </w:tc>
        <w:tc>
          <w:tcPr>
            <w:tcW w:w="0" w:type="auto"/>
            <w:tcBorders>
              <w:bottom w:val="single" w:sz="8" w:space="0" w:color="auto"/>
            </w:tcBorders>
            <w:vAlign w:val="center"/>
          </w:tcPr>
          <w:p w14:paraId="4F72A1A7" w14:textId="77777777" w:rsidR="002416AF" w:rsidRPr="006C5DB2" w:rsidRDefault="002416AF" w:rsidP="00FD6903">
            <w:pPr>
              <w:pStyle w:val="NoSpacing"/>
              <w:jc w:val="left"/>
            </w:pPr>
            <w:r w:rsidRPr="006C5DB2">
              <w:t>Lactation costs</w:t>
            </w:r>
          </w:p>
        </w:tc>
      </w:tr>
      <w:tr w:rsidR="002416AF" w:rsidRPr="006C5DB2" w14:paraId="4E10C4BC" w14:textId="77777777" w:rsidTr="004C5EE2">
        <w:tc>
          <w:tcPr>
            <w:tcW w:w="2410" w:type="dxa"/>
            <w:tcBorders>
              <w:top w:val="single" w:sz="8" w:space="0" w:color="auto"/>
              <w:bottom w:val="nil"/>
            </w:tcBorders>
            <w:vAlign w:val="center"/>
          </w:tcPr>
          <w:p w14:paraId="5EA87581" w14:textId="17ECCCAC"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a</m:t>
                </m:r>
                <m:r>
                  <m:rPr>
                    <m:sty m:val="p"/>
                  </m:rPr>
                  <w:rPr>
                    <w:rFonts w:ascii="Cambria Math" w:hAnsi="Cambria Math"/>
                  </w:rPr>
                  <m:t>)</m:t>
                </m:r>
              </m:oMath>
            </m:oMathPara>
          </w:p>
        </w:tc>
        <w:tc>
          <w:tcPr>
            <w:tcW w:w="4445" w:type="dxa"/>
            <w:tcBorders>
              <w:top w:val="single" w:sz="8" w:space="0" w:color="auto"/>
              <w:bottom w:val="nil"/>
            </w:tcBorders>
            <w:vAlign w:val="center"/>
          </w:tcPr>
          <w:p w14:paraId="7FB0B3AC"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β</m:t>
                        </m:r>
                      </m:e>
                      <m:sub>
                        <m:r>
                          <m:rPr>
                            <m:sty m:val="p"/>
                          </m:rPr>
                          <w:rPr>
                            <w:rFonts w:ascii="Cambria Math" w:hAnsi="Cambria Math"/>
                          </w:rPr>
                          <m:t>1</m:t>
                        </m:r>
                      </m:sub>
                    </m:sSub>
                    <m:r>
                      <w:rPr>
                        <w:rFonts w:ascii="Cambria Math" w:hAnsi="Cambria Math"/>
                      </w:rPr>
                      <m:t>a</m:t>
                    </m:r>
                  </m:sup>
                </m:sSup>
                <m:r>
                  <m:rPr>
                    <m:sty m:val="p"/>
                  </m:rPr>
                  <w:rPr>
                    <w:rFonts w:ascii="Cambria Math" w:eastAsia="Cambria"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m:rPr>
                            <m:sty m:val="p"/>
                          </m:rPr>
                          <w:rPr>
                            <w:rFonts w:ascii="Cambria Math" w:hAnsi="Cambria Math"/>
                          </w:rPr>
                          <m:t>2</m:t>
                        </m:r>
                      </m:sub>
                    </m:sSub>
                    <m:r>
                      <w:rPr>
                        <w:rFonts w:ascii="Cambria Math" w:hAnsi="Cambria Math"/>
                      </w:rPr>
                      <m:t>a</m:t>
                    </m:r>
                  </m:sup>
                </m:sSup>
              </m:oMath>
            </m:oMathPara>
          </w:p>
        </w:tc>
        <w:tc>
          <w:tcPr>
            <w:tcW w:w="0" w:type="auto"/>
            <w:tcBorders>
              <w:top w:val="single" w:sz="8" w:space="0" w:color="auto"/>
              <w:bottom w:val="nil"/>
            </w:tcBorders>
            <w:vAlign w:val="center"/>
          </w:tcPr>
          <w:p w14:paraId="38E9B735" w14:textId="4A41D2F2" w:rsidR="002416AF" w:rsidRPr="006C5DB2" w:rsidRDefault="002416AF" w:rsidP="00FD6903">
            <w:pPr>
              <w:pStyle w:val="NoSpacing"/>
              <w:jc w:val="left"/>
            </w:pPr>
            <w:r w:rsidRPr="006C5DB2">
              <w:t>Mortality rate</w:t>
            </w:r>
            <w:r w:rsidR="00435B08" w:rsidRPr="006C5DB2">
              <w:t xml:space="preserve"> </w:t>
            </w:r>
            <w:r w:rsidR="002B5B70" w:rsidRPr="006C5DB2">
              <w:t xml:space="preserve">calves </w:t>
            </w:r>
            <w:r w:rsidR="00435B08" w:rsidRPr="006C5DB2">
              <w:t xml:space="preserve">and </w:t>
            </w:r>
            <w:r w:rsidR="002B5B70" w:rsidRPr="006C5DB2">
              <w:t>weaned females</w:t>
            </w:r>
          </w:p>
        </w:tc>
      </w:tr>
      <w:tr w:rsidR="00435B08" w:rsidRPr="006C5DB2" w14:paraId="6CB829D7" w14:textId="77777777" w:rsidTr="004C5EE2">
        <w:tc>
          <w:tcPr>
            <w:tcW w:w="2410" w:type="dxa"/>
            <w:tcBorders>
              <w:top w:val="nil"/>
              <w:bottom w:val="nil"/>
            </w:tcBorders>
            <w:vAlign w:val="center"/>
          </w:tcPr>
          <w:p w14:paraId="771DCF3D" w14:textId="0B1AE415" w:rsidR="00435B08" w:rsidRPr="006C5DB2" w:rsidRDefault="00C16EB1" w:rsidP="00E42F52">
            <w:pPr>
              <w:pStyle w:val="NoSpacing"/>
              <w:rPr>
                <w:rFonts w:eastAsia="Calibri"/>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b</m:t>
                    </m:r>
                  </m:sub>
                </m:sSub>
              </m:oMath>
            </m:oMathPara>
          </w:p>
        </w:tc>
        <w:tc>
          <w:tcPr>
            <w:tcW w:w="4445" w:type="dxa"/>
            <w:tcBorders>
              <w:top w:val="nil"/>
              <w:bottom w:val="nil"/>
            </w:tcBorders>
            <w:vAlign w:val="center"/>
          </w:tcPr>
          <w:p w14:paraId="4DA4508B" w14:textId="20A5396D" w:rsidR="00435B08"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μ</m:t>
                    </m:r>
                  </m:e>
                  <m:sub>
                    <m:r>
                      <w:rPr>
                        <w:rFonts w:ascii="Cambria Math" w:hAnsi="Cambria Math"/>
                      </w:rPr>
                      <m:t>male</m:t>
                    </m:r>
                  </m:sub>
                </m:sSub>
              </m:oMath>
            </m:oMathPara>
          </w:p>
        </w:tc>
        <w:tc>
          <w:tcPr>
            <w:tcW w:w="0" w:type="auto"/>
            <w:tcBorders>
              <w:top w:val="nil"/>
              <w:bottom w:val="nil"/>
            </w:tcBorders>
            <w:vAlign w:val="center"/>
          </w:tcPr>
          <w:p w14:paraId="33B2C83A" w14:textId="2EBCD05C" w:rsidR="00435B08" w:rsidRPr="006C5DB2" w:rsidRDefault="00435B08" w:rsidP="00FD6903">
            <w:pPr>
              <w:pStyle w:val="NoSpacing"/>
              <w:jc w:val="left"/>
            </w:pPr>
            <w:r w:rsidRPr="006C5DB2">
              <w:t>Mortality rate weaned males</w:t>
            </w:r>
          </w:p>
        </w:tc>
      </w:tr>
      <w:tr w:rsidR="002416AF" w:rsidRPr="006C5DB2" w14:paraId="221EDA75" w14:textId="77777777" w:rsidTr="004C5EE2">
        <w:tc>
          <w:tcPr>
            <w:tcW w:w="2410" w:type="dxa"/>
            <w:tcBorders>
              <w:top w:val="nil"/>
            </w:tcBorders>
            <w:vAlign w:val="center"/>
          </w:tcPr>
          <w:p w14:paraId="74582D3F" w14:textId="77777777" w:rsidR="002416AF" w:rsidRPr="006C5DB2" w:rsidRDefault="00C16EB1" w:rsidP="00E42F52">
            <w:pPr>
              <w:pStyle w:val="NoSpacing"/>
              <w:rPr>
                <w:rFonts w:eastAsia="Cambria"/>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W</m:t>
                </m:r>
                <m:r>
                  <m:rPr>
                    <m:sty m:val="p"/>
                  </m:rPr>
                  <w:rPr>
                    <w:rFonts w:ascii="Cambria Math" w:hAnsi="Cambria Math"/>
                  </w:rPr>
                  <m:t>)</m:t>
                </m:r>
              </m:oMath>
            </m:oMathPara>
          </w:p>
        </w:tc>
        <w:tc>
          <w:tcPr>
            <w:tcW w:w="4445" w:type="dxa"/>
            <w:tcBorders>
              <w:top w:val="nil"/>
            </w:tcBorders>
            <w:vAlign w:val="center"/>
          </w:tcPr>
          <w:p w14:paraId="75CCB8A1" w14:textId="184C80A5" w:rsidR="002416AF" w:rsidRPr="006C5DB2" w:rsidRDefault="00C16EB1" w:rsidP="008F6E14">
            <w:pPr>
              <w:pStyle w:val="NoSpacing"/>
              <w:jc w:val="left"/>
              <w:rPr>
                <w:rFonts w:eastAsia="Cambria"/>
              </w:rPr>
            </w:pPr>
            <m:oMath>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s</m:t>
                          </m:r>
                        </m:sub>
                      </m:sSub>
                      <m:r>
                        <w:rPr>
                          <w:rFonts w:ascii="Cambria Math" w:hAnsi="Cambria Math"/>
                        </w:rPr>
                        <m:t>W</m:t>
                      </m:r>
                    </m:num>
                    <m:den>
                      <m:r>
                        <w:rPr>
                          <w:rFonts w:ascii="Cambria Math" w:hAnsi="Cambria Math"/>
                        </w:rPr>
                        <m:t>F</m:t>
                      </m:r>
                    </m:den>
                  </m:f>
                  <m:r>
                    <m:rPr>
                      <m:sty m:val="p"/>
                    </m:rPr>
                    <w:rPr>
                      <w:rFonts w:ascii="Cambria Math" w:hAnsi="Cambria Math"/>
                    </w:rPr>
                    <m:t>-1</m:t>
                  </m:r>
                </m:e>
              </m:d>
              <m:r>
                <m:rPr>
                  <m:nor/>
                </m:rPr>
                <m:t>,</m:t>
              </m:r>
            </m:oMath>
            <w:r w:rsidR="002416AF" w:rsidRPr="006C5DB2">
              <w:rPr>
                <w:rFonts w:eastAsia="Cambria"/>
              </w:rPr>
              <w:tab/>
            </w:r>
            <w:r w:rsidR="009157C9">
              <w:rPr>
                <w:rFonts w:eastAsia="Cambria"/>
              </w:rPr>
              <w:t xml:space="preserve">if </w:t>
            </w:r>
            <m:oMath>
              <m:r>
                <w:rPr>
                  <w:rFonts w:ascii="Cambria Math" w:hAnsi="Cambria Math"/>
                </w:rPr>
                <m:t>F</m:t>
              </m:r>
              <m:r>
                <m:rPr>
                  <m:sty m:val="p"/>
                </m:rPr>
                <w:rPr>
                  <w:rFonts w:ascii="Cambria Math" w:hAnsi="Cambria Math"/>
                </w:rPr>
                <m:t>&lt;</m:t>
              </m:r>
              <m:sSub>
                <m:sSubPr>
                  <m:ctrlPr>
                    <w:rPr>
                      <w:rFonts w:ascii="Cambria Math" w:hAnsi="Cambria Math"/>
                    </w:rPr>
                  </m:ctrlPr>
                </m:sSubPr>
                <m:e>
                  <m:r>
                    <w:rPr>
                      <w:rFonts w:ascii="Cambria Math" w:hAnsi="Cambria Math"/>
                    </w:rPr>
                    <m:t>ρ</m:t>
                  </m:r>
                </m:e>
                <m:sub>
                  <m:r>
                    <w:rPr>
                      <w:rFonts w:ascii="Cambria Math" w:hAnsi="Cambria Math"/>
                    </w:rPr>
                    <m:t>s</m:t>
                  </m:r>
                </m:sub>
              </m:sSub>
              <m:r>
                <w:rPr>
                  <w:rFonts w:ascii="Cambria Math" w:hAnsi="Cambria Math"/>
                </w:rPr>
                <m:t>W</m:t>
              </m:r>
            </m:oMath>
          </w:p>
        </w:tc>
        <w:tc>
          <w:tcPr>
            <w:tcW w:w="0" w:type="auto"/>
            <w:tcBorders>
              <w:top w:val="nil"/>
            </w:tcBorders>
            <w:vAlign w:val="center"/>
          </w:tcPr>
          <w:p w14:paraId="49D3E44F" w14:textId="77777777" w:rsidR="002416AF" w:rsidRPr="006C5DB2" w:rsidRDefault="002416AF" w:rsidP="00FD6903">
            <w:pPr>
              <w:pStyle w:val="NoSpacing"/>
              <w:jc w:val="left"/>
            </w:pPr>
            <w:r w:rsidRPr="006C5DB2">
              <w:t>Starvation mortality rate</w:t>
            </w:r>
          </w:p>
        </w:tc>
      </w:tr>
      <w:tr w:rsidR="002416AF" w:rsidRPr="006C5DB2" w14:paraId="7E7F5576" w14:textId="77777777" w:rsidTr="004C5EE2">
        <w:tc>
          <w:tcPr>
            <w:tcW w:w="2410" w:type="dxa"/>
            <w:vAlign w:val="center"/>
          </w:tcPr>
          <w:p w14:paraId="0F03535F" w14:textId="3E7DE543" w:rsidR="002D10D9" w:rsidRPr="006C5DB2" w:rsidRDefault="00C16EB1" w:rsidP="00E42F52">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preg</m:t>
                    </m:r>
                  </m:sub>
                </m:sSub>
              </m:oMath>
            </m:oMathPara>
          </w:p>
        </w:tc>
        <w:tc>
          <w:tcPr>
            <w:tcW w:w="4445" w:type="dxa"/>
            <w:vAlign w:val="center"/>
          </w:tcPr>
          <w:p w14:paraId="0DA229A6" w14:textId="3A6D31EE" w:rsidR="002416AF" w:rsidRPr="006C5DB2" w:rsidRDefault="00C16EB1" w:rsidP="00E42F52">
            <w:pPr>
              <w:pStyle w:val="NoSpacing"/>
            </w:pPr>
            <m:oMathPara>
              <m:oMathParaPr>
                <m:jc m:val="left"/>
              </m:oMathParaPr>
              <m:oMath>
                <m:sSub>
                  <m:sSubPr>
                    <m:ctrlPr>
                      <w:rPr>
                        <w:rFonts w:ascii="Cambria Math" w:hAnsi="Cambria Math"/>
                      </w:rPr>
                    </m:ctrlPr>
                  </m:sSubPr>
                  <m:e>
                    <m:r>
                      <w:rPr>
                        <w:rFonts w:ascii="Cambria Math" w:hAnsi="Cambria Math"/>
                      </w:rPr>
                      <m:t>ρ</m:t>
                    </m:r>
                  </m:e>
                  <m:sub>
                    <m:r>
                      <w:rPr>
                        <w:rFonts w:ascii="Cambria Math" w:hAnsi="Cambria Math"/>
                      </w:rPr>
                      <m:t>s</m:t>
                    </m:r>
                  </m:sub>
                </m:sSub>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neo</m:t>
                    </m:r>
                  </m:sub>
                </m:sSub>
              </m:oMath>
            </m:oMathPara>
          </w:p>
        </w:tc>
        <w:tc>
          <w:tcPr>
            <w:tcW w:w="0" w:type="auto"/>
            <w:vAlign w:val="center"/>
          </w:tcPr>
          <w:p w14:paraId="21249063" w14:textId="77777777" w:rsidR="002416AF" w:rsidRPr="006C5DB2" w:rsidRDefault="002416AF" w:rsidP="00FD6903">
            <w:pPr>
              <w:pStyle w:val="NoSpacing"/>
              <w:jc w:val="left"/>
            </w:pPr>
            <w:r w:rsidRPr="006C5DB2">
              <w:t>Pregnancy threshold</w:t>
            </w:r>
          </w:p>
        </w:tc>
      </w:tr>
      <w:tr w:rsidR="00D4177C" w:rsidRPr="006C5DB2" w14:paraId="0E99A95E" w14:textId="77777777" w:rsidTr="004C5EE2">
        <w:tc>
          <w:tcPr>
            <w:tcW w:w="2410" w:type="dxa"/>
            <w:vAlign w:val="center"/>
          </w:tcPr>
          <w:p w14:paraId="5726C407" w14:textId="6A1C6D67" w:rsidR="00D4177C" w:rsidRPr="00D4177C" w:rsidRDefault="00C16EB1" w:rsidP="00E42F52">
            <w:pPr>
              <w:pStyle w:val="NoSpacing"/>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b</m:t>
                    </m:r>
                  </m:sub>
                </m:sSub>
              </m:oMath>
            </m:oMathPara>
          </w:p>
        </w:tc>
        <w:tc>
          <w:tcPr>
            <w:tcW w:w="4445" w:type="dxa"/>
            <w:vAlign w:val="center"/>
          </w:tcPr>
          <w:p w14:paraId="053B361C" w14:textId="650CEA5D" w:rsidR="00D4177C" w:rsidRPr="00D4177C" w:rsidRDefault="00C16EB1" w:rsidP="00E42F52">
            <w:pPr>
              <w:pStyle w:val="NoSpacing"/>
            </w:pPr>
            <m:oMathPara>
              <m:oMathParaPr>
                <m:jc m:val="left"/>
              </m:oMathParaPr>
              <m:oMath>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s</m:t>
                        </m:r>
                      </m:sub>
                    </m:sSub>
                    <m:sSub>
                      <m:sSubPr>
                        <m:ctrlPr>
                          <w:rPr>
                            <w:rFonts w:ascii="Cambria Math" w:hAnsi="Cambria Math"/>
                          </w:rPr>
                        </m:ctrlPr>
                      </m:sSubPr>
                      <m:e>
                        <m:r>
                          <w:rPr>
                            <w:rFonts w:ascii="Cambria Math" w:hAnsi="Cambria Math"/>
                          </w:rPr>
                          <m:t>ω</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b</m:t>
                            </m:r>
                          </m:sub>
                        </m:sSub>
                      </m:e>
                      <m:sup>
                        <m:sSub>
                          <m:sSubPr>
                            <m:ctrlPr>
                              <w:rPr>
                                <w:rFonts w:ascii="Cambria Math" w:hAnsi="Cambria Math"/>
                              </w:rPr>
                            </m:ctrlPr>
                          </m:sSubPr>
                          <m:e>
                            <m:r>
                              <w:rPr>
                                <w:rFonts w:ascii="Cambria Math" w:hAnsi="Cambria Math"/>
                              </w:rPr>
                              <m:t>ω</m:t>
                            </m:r>
                          </m:e>
                          <m:sub>
                            <m:r>
                              <m:rPr>
                                <m:sty m:val="p"/>
                              </m:rPr>
                              <w:rPr>
                                <w:rFonts w:ascii="Cambria Math" w:hAnsi="Cambria Math"/>
                              </w:rPr>
                              <m:t>2</m:t>
                            </m:r>
                          </m:sub>
                        </m:sSub>
                      </m:sup>
                    </m:sSup>
                  </m:num>
                  <m:den>
                    <m:r>
                      <m:rPr>
                        <m:sty m:val="p"/>
                      </m:rP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s</m:t>
                        </m:r>
                      </m:sub>
                    </m:sSub>
                  </m:den>
                </m:f>
              </m:oMath>
            </m:oMathPara>
          </w:p>
        </w:tc>
        <w:tc>
          <w:tcPr>
            <w:tcW w:w="0" w:type="auto"/>
            <w:vAlign w:val="center"/>
          </w:tcPr>
          <w:p w14:paraId="4B97836C" w14:textId="1BE4E253" w:rsidR="00D4177C" w:rsidRPr="006C5DB2" w:rsidRDefault="00D4177C" w:rsidP="00FD6903">
            <w:pPr>
              <w:pStyle w:val="NoSpacing"/>
              <w:jc w:val="left"/>
            </w:pPr>
            <w:r>
              <w:t>Reserve mass at birth</w:t>
            </w:r>
          </w:p>
        </w:tc>
      </w:tr>
    </w:tbl>
    <w:p w14:paraId="5A2984B6" w14:textId="5C570C40" w:rsidR="00334DB0" w:rsidRDefault="007C1D8B" w:rsidP="0082745D">
      <w:r>
        <w:t xml:space="preserve"> </w:t>
      </w:r>
    </w:p>
    <w:p w14:paraId="1AD6E865" w14:textId="0E226FD9" w:rsidR="00A62D1B" w:rsidRDefault="00A62D1B" w:rsidP="001A3E98">
      <w:pPr>
        <w:pStyle w:val="Heading2"/>
      </w:pPr>
      <w:r>
        <w:t>Mortality and survival</w:t>
      </w:r>
    </w:p>
    <w:p w14:paraId="33E690FE" w14:textId="6F8F553C" w:rsidR="00815B22" w:rsidRPr="002510F2" w:rsidRDefault="00C42EE3" w:rsidP="0082745D">
      <w:pPr>
        <w:pStyle w:val="Firstparagraph"/>
      </w:pPr>
      <w:r w:rsidRPr="002510F2">
        <w:t>Ca</w:t>
      </w:r>
      <w:r w:rsidR="00A62D1B" w:rsidRPr="002510F2">
        <w:t>lves and weaned females experience age-dependent mortality rate (</w:t>
      </w:r>
      <w:r w:rsidR="00A62D1B" w:rsidRPr="0012731B">
        <w:rPr>
          <w:i/>
          <w:iCs/>
        </w:rPr>
        <w:t>D</w:t>
      </w:r>
      <w:r w:rsidR="00A62D1B" w:rsidRPr="0012731B">
        <w:rPr>
          <w:i/>
          <w:iCs/>
          <w:vertAlign w:val="subscript"/>
        </w:rPr>
        <w:t>b</w:t>
      </w:r>
      <w:r w:rsidR="00A62D1B" w:rsidRPr="0012731B">
        <w:rPr>
          <w:i/>
          <w:iCs/>
        </w:rPr>
        <w:t>(a)</w:t>
      </w:r>
      <w:r w:rsidR="00A62D1B" w:rsidRPr="007F23D3">
        <w:t>)</w:t>
      </w:r>
      <w:r w:rsidR="00A62D1B" w:rsidRPr="002510F2">
        <w:t xml:space="preserve"> according to a Siler model with three components: </w:t>
      </w:r>
      <w:proofErr w:type="spellStart"/>
      <w:r w:rsidR="00F830A3" w:rsidRPr="002510F2">
        <w:t>i</w:t>
      </w:r>
      <w:proofErr w:type="spellEnd"/>
      <w:r w:rsidR="00A62D1B" w:rsidRPr="002510F2">
        <w:t>) constant background mortality</w:t>
      </w:r>
      <w:r w:rsidR="00F830A3" w:rsidRPr="002510F2">
        <w:t>,</w:t>
      </w:r>
      <w:r w:rsidR="00A62D1B" w:rsidRPr="002510F2">
        <w:t xml:space="preserve"> ii) early life mortality that declines with age and iii) </w:t>
      </w:r>
      <w:r w:rsidR="00F830A3" w:rsidRPr="002510F2">
        <w:t>senescence</w:t>
      </w:r>
      <w:r w:rsidR="00A62D1B" w:rsidRPr="002510F2">
        <w:t xml:space="preserve"> mortality that increases with age</w:t>
      </w:r>
      <w:r w:rsidR="00FF6AE3" w:rsidRPr="002510F2">
        <w:t xml:space="preserve"> </w:t>
      </w:r>
      <w:r w:rsidR="00FF6AE3" w:rsidRPr="002510F2">
        <w:fldChar w:fldCharType="begin"/>
      </w:r>
      <w:r w:rsidR="00AE7073">
        <w:instrText xml:space="preserve"> ADDIN ZOTERO_ITEM CSL_CITATION {"citationID":"z5mYWdYF","properties":{"formattedCitation":"(Barlow and Boveng, 1991; Siler, 1979)","plainCitation":"(Barlow and Boveng, 1991; Siler, 1979)","noteIndex":0},"citationItems":[{"id":1770,"uris":["http://zotero.org/users/local/6qJKLD2C/items/TBU4AEYE"],"uri":["http://zotero.org/users/local/6qJKLD2C/items/TBU4AEYE"],"itemData":{"id":1770,"type":"article-journal","abstract":"A method is presented for estimating age-specific mortality based on minimal information: a model life table and an estimate of longevity. This approach uses expected patterns of mammalian survivorship to define a general model of agespecific mortality rates. One such model life table is based on data for northern fur seals (Callorhinusursinu.r) using Siler’s (1979) 5-parameter competing risk model. Alternative model life tables are based on historical data for human females and on a published model for Old World monkeys. Survival rates for a marine mammal species are then calculated by scaling these models by the longevityof that species. By using a realistic model (instead of assuming constant mortality), one can see more easily the real biological limits to population growth. The mortality estimation procedure is illustrated with examples of spotted dolphins (Stenella attenuata) and harbor porpoise (Phocoenaphocoena).","container-title":"Marine Mammal Science","DOI":"10.1111/j.1748-7692.1991.tb00550.x","ISSN":"0824-0469, 1748-7692","issue":"1","journalAbbreviation":"Mar Mamm Sci","language":"en","page":"50-65","source":"DOI.org (Crossref)","title":"Modelling age-specific mortality for marine mammal populations","volume":"7","author":[{"family":"Barlow","given":"Jay"},{"family":"Boveng","given":"Peter"}],"issued":{"date-parts":[["1991",1]]}}},{"id":2173,"uris":["http://zotero.org/users/local/6qJKLD2C/items/5CFDZ62B"],"uri":["http://zotero.org/users/local/6qJKLD2C/items/5CFDZ62B"],"itemData":{"id":2173,"type":"article-journal","container-title":"Ecology","DOI":"10.2307/1936612","ISSN":"00129658","issue":"4","language":"en","page":"750-757","source":"DOI.org (Crossref)","title":"A competing-risk model for animal mortality","volume":"60","author":[{"family":"Siler","given":"William"}],"issued":{"date-parts":[["1979",8]]}}}],"schema":"https://github.com/citation-style-language/schema/raw/master/csl-citation.json"} </w:instrText>
      </w:r>
      <w:r w:rsidR="00FF6AE3" w:rsidRPr="002510F2">
        <w:fldChar w:fldCharType="separate"/>
      </w:r>
      <w:r w:rsidR="00FF6AE3" w:rsidRPr="002510F2">
        <w:t xml:space="preserve">(Barlow and </w:t>
      </w:r>
      <w:proofErr w:type="spellStart"/>
      <w:r w:rsidR="00FF6AE3" w:rsidRPr="002510F2">
        <w:t>Boveng</w:t>
      </w:r>
      <w:proofErr w:type="spellEnd"/>
      <w:r w:rsidR="00FF6AE3" w:rsidRPr="002510F2">
        <w:t>, 1991; Siler, 1979)</w:t>
      </w:r>
      <w:r w:rsidR="00FF6AE3" w:rsidRPr="002510F2">
        <w:fldChar w:fldCharType="end"/>
      </w:r>
      <w:r w:rsidR="00A62D1B" w:rsidRPr="002510F2">
        <w:t>. Weaned males experience constant background mortality</w:t>
      </w:r>
      <w:r w:rsidR="00F040AE" w:rsidRPr="002510F2">
        <w:t xml:space="preserve"> </w:t>
      </w:r>
      <w:r w:rsidR="007C156C" w:rsidRPr="002510F2">
        <w:t xml:space="preserve">only, with rate </w:t>
      </w:r>
      <m:oMath>
        <m:sSub>
          <m:sSubPr>
            <m:ctrlPr>
              <w:rPr>
                <w:rFonts w:ascii="Cambria Math" w:hAnsi="Cambria Math"/>
              </w:rPr>
            </m:ctrlPr>
          </m:sSubPr>
          <m:e>
            <m:r>
              <w:rPr>
                <w:rFonts w:ascii="Cambria Math" w:hAnsi="Cambria Math"/>
              </w:rPr>
              <m:t>μ</m:t>
            </m:r>
          </m:e>
          <m:sub>
            <m:r>
              <w:rPr>
                <w:rFonts w:ascii="Cambria Math" w:hAnsi="Cambria Math"/>
              </w:rPr>
              <m:t>male</m:t>
            </m:r>
          </m:sub>
        </m:sSub>
      </m:oMath>
      <w:r w:rsidR="00A62D1B" w:rsidRPr="002510F2">
        <w:t>.</w:t>
      </w:r>
      <w:r w:rsidR="00447F0B" w:rsidRPr="002510F2">
        <w:t xml:space="preserve"> In addition, individuals experience additional starvation-induced mortality i</w:t>
      </w:r>
      <w:r w:rsidR="00D308A6" w:rsidRPr="002510F2">
        <w:t xml:space="preserve">f </w:t>
      </w:r>
      <w:r w:rsidR="00447F0B" w:rsidRPr="002510F2">
        <w:t xml:space="preserve">their </w:t>
      </w:r>
      <w:r w:rsidR="00D308A6" w:rsidRPr="002510F2">
        <w:t xml:space="preserve">body condition falls below the starvation body condition threshold </w:t>
      </w:r>
      <m:oMath>
        <m:sSub>
          <m:sSubPr>
            <m:ctrlPr>
              <w:rPr>
                <w:rFonts w:ascii="Cambria Math" w:hAnsi="Cambria Math"/>
              </w:rPr>
            </m:ctrlPr>
          </m:sSubPr>
          <m:e>
            <m:r>
              <w:rPr>
                <w:rFonts w:ascii="Cambria Math" w:hAnsi="Cambria Math"/>
              </w:rPr>
              <m:t>ρ</m:t>
            </m:r>
          </m:e>
          <m:sub>
            <m:r>
              <w:rPr>
                <w:rFonts w:ascii="Cambria Math" w:hAnsi="Cambria Math"/>
              </w:rPr>
              <m:t>s</m:t>
            </m:r>
          </m:sub>
        </m:sSub>
        <m:r>
          <w:rPr>
            <w:rFonts w:ascii="Cambria Math" w:hAnsi="Cambria Math"/>
          </w:rPr>
          <m:t>=0.15</m:t>
        </m:r>
      </m:oMath>
      <w:r w:rsidR="00F56139" w:rsidRPr="002510F2">
        <w:t xml:space="preserve">. The starvation mortality </w:t>
      </w:r>
      <w:r w:rsidR="00F56139" w:rsidRPr="002510F2">
        <w:lastRenderedPageBreak/>
        <w:t>rate is a</w:t>
      </w:r>
      <w:r w:rsidR="00ED18E4" w:rsidRPr="002510F2">
        <w:t xml:space="preserve"> hyperbolic </w:t>
      </w:r>
      <w:r w:rsidR="00F56139" w:rsidRPr="002510F2">
        <w:t xml:space="preserve">function </w:t>
      </w:r>
      <w:r w:rsidR="00ED18E4" w:rsidRPr="002510F2">
        <w:t xml:space="preserve">that increases with </w:t>
      </w:r>
      <w:r w:rsidR="00D308A6" w:rsidRPr="002510F2">
        <w:t xml:space="preserve">decreasing </w:t>
      </w:r>
      <w:r w:rsidR="00ED18E4" w:rsidRPr="002510F2">
        <w:t>body condition (Table S2)</w:t>
      </w:r>
      <w:r w:rsidR="00EA4883" w:rsidRPr="002510F2">
        <w:t>.</w:t>
      </w:r>
      <w:r w:rsidR="00055D43" w:rsidRPr="002510F2">
        <w:t xml:space="preserve"> The s</w:t>
      </w:r>
      <w:r w:rsidR="00A62D1B" w:rsidRPr="002510F2">
        <w:t xml:space="preserve">urvival </w:t>
      </w:r>
      <w:r w:rsidR="00055D43" w:rsidRPr="002510F2">
        <w:t xml:space="preserve">function </w:t>
      </w:r>
      <w:r w:rsidR="00A62D1B" w:rsidRPr="00CB5CC2">
        <w:rPr>
          <w:i/>
          <w:iCs/>
        </w:rPr>
        <w:t>H(a)</w:t>
      </w:r>
      <w:r w:rsidR="00A62D1B" w:rsidRPr="002510F2">
        <w:t xml:space="preserve"> is the integrated outcome of both starvation and (age-dependent</w:t>
      </w:r>
      <w:r w:rsidR="00055D43" w:rsidRPr="002510F2">
        <w:t xml:space="preserve"> / background</w:t>
      </w:r>
      <w:r w:rsidR="00A62D1B" w:rsidRPr="002510F2">
        <w:t xml:space="preserve">) mortality: </w:t>
      </w:r>
      <m:oMath>
        <m:r>
          <w:rPr>
            <w:rFonts w:ascii="Cambria Math" w:hAnsi="Cambria Math"/>
          </w:rPr>
          <m:t>H</m:t>
        </m:r>
        <m:d>
          <m:dPr>
            <m:ctrlPr>
              <w:rPr>
                <w:rFonts w:ascii="Cambria Math" w:hAnsi="Cambria Math"/>
              </w:rPr>
            </m:ctrlPr>
          </m:dPr>
          <m:e>
            <m:r>
              <w:rPr>
                <w:rFonts w:ascii="Cambria Math" w:hAnsi="Cambria Math"/>
              </w:rPr>
              <m:t>a</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nary>
              <m:naryPr>
                <m:ctrlPr>
                  <w:rPr>
                    <w:rFonts w:ascii="Cambria Math" w:hAnsi="Cambria Math"/>
                  </w:rPr>
                </m:ctrlPr>
              </m:naryPr>
              <m:sub>
                <m:r>
                  <m:rPr>
                    <m:sty m:val="p"/>
                  </m:rPr>
                  <w:rPr>
                    <w:rFonts w:ascii="Cambria Math" w:hAnsi="Cambria Math"/>
                  </w:rPr>
                  <m:t>0</m:t>
                </m:r>
              </m:sub>
              <m:sup>
                <m:r>
                  <w:rPr>
                    <w:rFonts w:ascii="Cambria Math" w:hAnsi="Cambria Math"/>
                  </w:rPr>
                  <m:t>a</m:t>
                </m:r>
              </m:sup>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d>
                      <m:dPr>
                        <m:ctrlPr>
                          <w:rPr>
                            <w:rFonts w:ascii="Cambria Math" w:hAnsi="Cambria Math"/>
                          </w:rPr>
                        </m:ctrlPr>
                      </m:dPr>
                      <m:e>
                        <m:r>
                          <w:rPr>
                            <w:rFonts w:ascii="Cambria Math" w:hAnsi="Cambria Math"/>
                          </w:rPr>
                          <m:t>α</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α</m:t>
                            </m:r>
                          </m:e>
                        </m:d>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α</m:t>
                            </m:r>
                          </m:e>
                        </m:d>
                      </m:e>
                    </m:d>
                  </m:e>
                </m:d>
                <m:r>
                  <w:rPr>
                    <w:rFonts w:ascii="Cambria Math" w:hAnsi="Cambria Math"/>
                  </w:rPr>
                  <m:t>dα</m:t>
                </m:r>
              </m:e>
            </m:nary>
          </m:sup>
        </m:sSup>
      </m:oMath>
      <w:r w:rsidR="00A62D1B" w:rsidRPr="002510F2">
        <w:t>, which is a decreasing function of age with</w:t>
      </w:r>
      <w:r w:rsidR="00B7225F">
        <w:t xml:space="preserve"> </w:t>
      </w:r>
      <w:proofErr w:type="gramStart"/>
      <w:r w:rsidR="00B7225F" w:rsidRPr="00B7225F">
        <w:rPr>
          <w:i/>
          <w:iCs/>
        </w:rPr>
        <w:t>H(</w:t>
      </w:r>
      <w:proofErr w:type="gramEnd"/>
      <w:r w:rsidR="00B7225F" w:rsidRPr="00B7225F">
        <w:rPr>
          <w:i/>
          <w:iCs/>
        </w:rPr>
        <w:t>0)</w:t>
      </w:r>
      <w:r w:rsidR="00B7225F" w:rsidRPr="00B7225F">
        <w:t xml:space="preserve"> = 1.0</w:t>
      </w:r>
      <w:r w:rsidR="00A62D1B" w:rsidRPr="002510F2">
        <w:t xml:space="preserve">. </w:t>
      </w:r>
      <w:r w:rsidR="00183EB2" w:rsidRPr="002510F2">
        <w:t>In natural populations,</w:t>
      </w:r>
      <w:r w:rsidR="00A62D1B" w:rsidRPr="002510F2">
        <w:t xml:space="preserve"> there is variation in age at death even in the absence of starvation mortality. To capture this variation, each individual was assigned a survival threshold</w:t>
      </w:r>
      <w:r w:rsidR="00CE3FE8" w:rsidRPr="002510F2">
        <w:t>:</w:t>
      </w:r>
      <w:r w:rsidR="00A62D1B" w:rsidRPr="002510F2">
        <w:t xml:space="preserve"> a uniform random number between 0 and 1. If</w:t>
      </w:r>
      <w:r w:rsidR="00624B1E" w:rsidRPr="002510F2">
        <w:t xml:space="preserve"> </w:t>
      </w:r>
      <w:r w:rsidR="00624B1E" w:rsidRPr="005A012A">
        <w:rPr>
          <w:i/>
          <w:iCs/>
        </w:rPr>
        <w:t>H(a)</w:t>
      </w:r>
      <w:r w:rsidR="00A62D1B" w:rsidRPr="005A012A">
        <w:rPr>
          <w:i/>
          <w:iCs/>
        </w:rPr>
        <w:t xml:space="preserve"> </w:t>
      </w:r>
      <w:r w:rsidR="00A62D1B" w:rsidRPr="002510F2">
        <w:t xml:space="preserve">falls below this threshold the individual was considered death and removed from the population. </w:t>
      </w:r>
    </w:p>
    <w:p w14:paraId="42AA3E32" w14:textId="2A3A6D89" w:rsidR="007C1D8B" w:rsidRPr="001A3E98" w:rsidRDefault="007C1D8B" w:rsidP="001A3E98">
      <w:pPr>
        <w:pStyle w:val="Heading2"/>
      </w:pPr>
      <w:r w:rsidRPr="001A3E98">
        <w:t>Reproduction</w:t>
      </w:r>
    </w:p>
    <w:p w14:paraId="1820D550" w14:textId="329C4DA9" w:rsidR="007C1D8B" w:rsidRDefault="007C1D8B" w:rsidP="0082745D">
      <w:pPr>
        <w:pStyle w:val="Firstparagraph"/>
      </w:pPr>
      <w:r>
        <w:t xml:space="preserve">Whales are assumed to initiate pregnancy </w:t>
      </w:r>
      <w:r w:rsidR="005B667B">
        <w:t xml:space="preserve">when the </w:t>
      </w:r>
      <w:r>
        <w:t xml:space="preserve">absolute </w:t>
      </w:r>
      <w:proofErr w:type="gramStart"/>
      <w:r>
        <w:t>amount</w:t>
      </w:r>
      <w:proofErr w:type="gramEnd"/>
      <w:r>
        <w:t xml:space="preserve"> of reserves</w:t>
      </w:r>
      <w:r w:rsidR="005B667B">
        <w:t xml:space="preserve"> exceed</w:t>
      </w:r>
      <w:r w:rsidR="007F1C13">
        <w:t>s</w:t>
      </w:r>
      <w:r w:rsidR="005B667B">
        <w:t xml:space="preserve"> </w:t>
      </w:r>
      <w:r w:rsidR="0051015B">
        <w:t xml:space="preserve">the </w:t>
      </w:r>
      <w:r w:rsidR="00FA10E4">
        <w:t>‘</w:t>
      </w:r>
      <w:r>
        <w:t>pregnancy threshold</w:t>
      </w:r>
      <w:r w:rsidR="00FA10E4">
        <w:t>’</w:t>
      </w:r>
      <w:r>
        <w:t xml:space="preserve">, </w:t>
      </w:r>
      <w:r w:rsidR="00DC2B1F">
        <w:t>defined as</w:t>
      </w:r>
      <w:r w:rsidR="00DC2B1F">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preg</m:t>
                </m:r>
              </m:sub>
            </m:sSub>
            <m:r>
              <w:rPr>
                <w:rFonts w:ascii="Cambria Math" w:hAnsi="Cambria Math"/>
              </w:rPr>
              <m:t>=ρ</m:t>
            </m:r>
          </m:e>
          <m:sub>
            <m:r>
              <w:rPr>
                <w:rFonts w:ascii="Cambria Math" w:hAnsi="Cambria Math"/>
              </w:rPr>
              <m:t>s</m:t>
            </m:r>
          </m:sub>
        </m:sSub>
        <m:r>
          <w:rPr>
            <w:rFonts w:ascii="Cambria Math" w:hAnsi="Cambria Math"/>
          </w:rPr>
          <m:t>W+</m:t>
        </m:r>
        <m:sSub>
          <m:sSubPr>
            <m:ctrlPr>
              <w:rPr>
                <w:rFonts w:ascii="Cambria Math" w:hAnsi="Cambria Math"/>
                <w:i/>
              </w:rPr>
            </m:ctrlPr>
          </m:sSubPr>
          <m:e>
            <m:r>
              <w:rPr>
                <w:rFonts w:ascii="Cambria Math" w:hAnsi="Cambria Math"/>
              </w:rPr>
              <m:t>F</m:t>
            </m:r>
          </m:e>
          <m:sub>
            <m:r>
              <w:rPr>
                <w:rFonts w:ascii="Cambria Math" w:hAnsi="Cambria Math"/>
              </w:rPr>
              <m:t>neo</m:t>
            </m:r>
          </m:sub>
        </m:sSub>
      </m:oMath>
      <w:r w:rsidR="00DC2B1F">
        <w:t xml:space="preserve">, where </w:t>
      </w:r>
      <m:oMath>
        <m:sSub>
          <m:sSubPr>
            <m:ctrlPr>
              <w:rPr>
                <w:rFonts w:ascii="Cambria Math" w:hAnsi="Cambria Math"/>
                <w:i/>
              </w:rPr>
            </m:ctrlPr>
          </m:sSubPr>
          <m:e>
            <m:r>
              <w:rPr>
                <w:rFonts w:ascii="Cambria Math" w:hAnsi="Cambria Math"/>
              </w:rPr>
              <m:t>ρ</m:t>
            </m:r>
            <m:ctrlPr>
              <w:rPr>
                <w:rFonts w:ascii="Cambria Math" w:hAnsi="Cambria Math"/>
              </w:rPr>
            </m:ctrlPr>
          </m:e>
          <m:sub>
            <m:r>
              <w:rPr>
                <w:rFonts w:ascii="Cambria Math" w:hAnsi="Cambria Math"/>
              </w:rPr>
              <m:t>s</m:t>
            </m:r>
          </m:sub>
        </m:sSub>
        <m:r>
          <w:rPr>
            <w:rFonts w:ascii="Cambria Math" w:hAnsi="Cambria Math"/>
          </w:rPr>
          <m:t>W</m:t>
        </m:r>
      </m:oMath>
      <w:r w:rsidR="00DC2B1F">
        <w:t xml:space="preserve"> is the reserve mass threshold below which starvation mortality occurs.</w:t>
      </w:r>
      <w:r w:rsidR="00DC2B1F">
        <w:t xml:space="preserve"> Once </w:t>
      </w:r>
      <w:r>
        <w:t xml:space="preserve">the female becomes </w:t>
      </w:r>
      <w:proofErr w:type="gramStart"/>
      <w:r>
        <w:t>receptive</w:t>
      </w:r>
      <w:proofErr w:type="gramEnd"/>
      <w:r>
        <w:t xml:space="preserve"> </w:t>
      </w:r>
      <w:r w:rsidR="00E20B98">
        <w:t xml:space="preserve">she </w:t>
      </w:r>
      <w:r>
        <w:t xml:space="preserve">is assigned the 'waiting' status, as she awaits the onset of pregnancy. Each time a female enters the waiting period, its duration is randomly determined from an exponential distribution with </w:t>
      </w:r>
      <w:r w:rsidR="003E7FB9">
        <w:t xml:space="preserve">a </w:t>
      </w:r>
      <w:r>
        <w:t xml:space="preserve">mean of 445 days. </w:t>
      </w:r>
      <w:r w:rsidR="004D7C96">
        <w:t xml:space="preserve">Gestation last </w:t>
      </w:r>
      <w:r w:rsidR="004D7C96">
        <w:rPr>
          <w:i/>
          <w:iCs/>
        </w:rPr>
        <w:t>T</w:t>
      </w:r>
      <w:r w:rsidR="004D7C96" w:rsidRPr="004D7C96">
        <w:rPr>
          <w:i/>
          <w:iCs/>
          <w:vertAlign w:val="subscript"/>
        </w:rPr>
        <w:t>G</w:t>
      </w:r>
      <w:r w:rsidR="004D7C96">
        <w:t xml:space="preserve"> days and during gestation f</w:t>
      </w:r>
      <w:r w:rsidR="00E50A49">
        <w:t xml:space="preserve">etuses experience a daily mortality </w:t>
      </w:r>
      <w:r w:rsidR="002A2195">
        <w:t xml:space="preserve">rate </w:t>
      </w:r>
      <w:r w:rsidR="00E50A49">
        <w:t xml:space="preserve">of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rsidR="002A2195">
        <w:rPr>
          <w:rFonts w:eastAsiaTheme="minorEastAsia"/>
        </w:rPr>
        <w:t xml:space="preserve">, which is independent of the body condition of </w:t>
      </w:r>
      <w:r w:rsidR="004D7C96">
        <w:rPr>
          <w:rFonts w:eastAsiaTheme="minorEastAsia"/>
        </w:rPr>
        <w:t xml:space="preserve">their </w:t>
      </w:r>
      <w:r w:rsidR="002A2195">
        <w:rPr>
          <w:rFonts w:eastAsiaTheme="minorEastAsia"/>
        </w:rPr>
        <w:t xml:space="preserve">mother. Hence, termination of pregnancy by the female was not considered. </w:t>
      </w:r>
      <w:r w:rsidR="00DF748D">
        <w:t>Fetal growth in structural length is a linear function of time since conception (Table S1). Fetuses do not contain any reserve mass, as they are directly linked to the reserves of their mother. Upon parturition, the minimum amount of reserves to offset starvation mortality</w:t>
      </w:r>
      <w:r w:rsidR="00E55515">
        <w:t xml:space="preserve"> (</w:t>
      </w:r>
      <w:r w:rsidR="00E55515" w:rsidRPr="00E55515">
        <w:rPr>
          <w:i/>
          <w:iCs/>
        </w:rPr>
        <w:t>F</w:t>
      </w:r>
      <w:r w:rsidR="00E55515" w:rsidRPr="00E55515">
        <w:rPr>
          <w:i/>
          <w:iCs/>
          <w:vertAlign w:val="subscript"/>
        </w:rPr>
        <w:t>b</w:t>
      </w:r>
      <w:r w:rsidR="00E55515">
        <w:t>)</w:t>
      </w:r>
      <w:r w:rsidR="00DF748D">
        <w:t xml:space="preserve"> is transferred from the </w:t>
      </w:r>
      <w:r w:rsidR="00E55515">
        <w:t xml:space="preserve">mother </w:t>
      </w:r>
      <w:r w:rsidR="00DF748D">
        <w:t>to the neonate</w:t>
      </w:r>
      <w:r w:rsidR="00E55515">
        <w:t xml:space="preserve"> (Table S2)</w:t>
      </w:r>
      <w:r w:rsidR="00747DEA">
        <w:t>.</w:t>
      </w:r>
      <w:r w:rsidR="00136756">
        <w:t xml:space="preserve"> </w:t>
      </w:r>
      <w:r w:rsidR="00E639B2">
        <w:t xml:space="preserve">Lactation lasts </w:t>
      </w:r>
      <w:r w:rsidR="00E639B2">
        <w:rPr>
          <w:i/>
          <w:iCs/>
        </w:rPr>
        <w:t>T</w:t>
      </w:r>
      <w:r w:rsidR="00E639B2" w:rsidRPr="00E639B2">
        <w:rPr>
          <w:i/>
          <w:iCs/>
          <w:vertAlign w:val="subscript"/>
        </w:rPr>
        <w:t>L</w:t>
      </w:r>
      <w:r w:rsidR="00E639B2">
        <w:t xml:space="preserve"> days and </w:t>
      </w:r>
      <w:r w:rsidR="00060F16">
        <w:t xml:space="preserve">females can reinitiate the next pregnancy (enter the waiting period) </w:t>
      </w:r>
      <w:r w:rsidR="00E639B2">
        <w:t>d</w:t>
      </w:r>
      <w:r w:rsidR="00136756">
        <w:t xml:space="preserve">uring the last </w:t>
      </w:r>
      <w:r w:rsidR="00136756">
        <w:rPr>
          <w:i/>
          <w:iCs/>
        </w:rPr>
        <w:t>T</w:t>
      </w:r>
      <w:r w:rsidR="00136756">
        <w:rPr>
          <w:i/>
          <w:iCs/>
          <w:vertAlign w:val="subscript"/>
        </w:rPr>
        <w:t>G</w:t>
      </w:r>
      <w:r w:rsidR="00136756">
        <w:t xml:space="preserve"> </w:t>
      </w:r>
      <w:r w:rsidR="00060F16">
        <w:t>days of the lactation period</w:t>
      </w:r>
      <w:r w:rsidR="009A4AA3">
        <w:t xml:space="preserve"> if their reserve mass exceeds </w:t>
      </w:r>
      <w:proofErr w:type="spellStart"/>
      <w:r w:rsidR="009A4AA3" w:rsidRPr="009A4AA3">
        <w:rPr>
          <w:i/>
          <w:iCs/>
        </w:rPr>
        <w:t>F</w:t>
      </w:r>
      <w:r w:rsidR="009A4AA3" w:rsidRPr="009A4AA3">
        <w:rPr>
          <w:i/>
          <w:iCs/>
          <w:vertAlign w:val="subscript"/>
        </w:rPr>
        <w:t>preg</w:t>
      </w:r>
      <w:proofErr w:type="spellEnd"/>
      <w:r w:rsidR="009A4AA3">
        <w:t xml:space="preserve">. </w:t>
      </w:r>
      <w:r w:rsidR="00D73F05">
        <w:t>This restriction is to prevent females from having two calves simultaneously.</w:t>
      </w:r>
      <w:r w:rsidR="00E56972">
        <w:t xml:space="preserve"> </w:t>
      </w:r>
      <w:r w:rsidR="001E24F9">
        <w:t>Waiting f</w:t>
      </w:r>
      <w:r w:rsidR="00B76225">
        <w:t>emales can become pregnant during the last phase of lactation if the waiting period happens to be shorter than the gestation period (</w:t>
      </w:r>
      <w:r w:rsidR="00B76225" w:rsidRPr="00B76225">
        <w:rPr>
          <w:i/>
          <w:iCs/>
        </w:rPr>
        <w:t>T</w:t>
      </w:r>
      <w:r w:rsidR="00B76225" w:rsidRPr="00B76225">
        <w:rPr>
          <w:i/>
          <w:iCs/>
          <w:vertAlign w:val="subscript"/>
        </w:rPr>
        <w:t>G</w:t>
      </w:r>
      <w:r w:rsidR="00B76225">
        <w:t xml:space="preserve">). </w:t>
      </w:r>
    </w:p>
    <w:p w14:paraId="18826B04" w14:textId="69D75FC2" w:rsidR="00E40340" w:rsidRDefault="00E40340" w:rsidP="00E40340">
      <w:pPr>
        <w:pStyle w:val="Heading2"/>
      </w:pPr>
      <w:r>
        <w:t>Prey dynamics</w:t>
      </w:r>
    </w:p>
    <w:p w14:paraId="06818DBE" w14:textId="17FD30BB" w:rsidR="00E40340" w:rsidRPr="007F6C18" w:rsidRDefault="007C4AB2" w:rsidP="00E40340">
      <w:pPr>
        <w:ind w:firstLine="0"/>
      </w:pPr>
      <w:r>
        <w:t>Prey dynamics</w:t>
      </w:r>
      <w:r w:rsidR="000C5788">
        <w:t xml:space="preserve"> (</w:t>
      </w:r>
      <w:proofErr w:type="spellStart"/>
      <w:r w:rsidR="000C5788">
        <w:t>d</w:t>
      </w:r>
      <w:r w:rsidR="000C5788">
        <w:rPr>
          <w:i/>
          <w:iCs/>
        </w:rPr>
        <w:t>R</w:t>
      </w:r>
      <w:proofErr w:type="spellEnd"/>
      <w:r w:rsidR="000C5788">
        <w:t>/d</w:t>
      </w:r>
      <w:r w:rsidR="000C5788">
        <w:rPr>
          <w:i/>
          <w:iCs/>
        </w:rPr>
        <w:t>t</w:t>
      </w:r>
      <w:r w:rsidR="000C5788">
        <w:t>)</w:t>
      </w:r>
      <w:r>
        <w:t xml:space="preserve"> </w:t>
      </w:r>
      <w:r w:rsidR="00D309F6">
        <w:t>are modelled using</w:t>
      </w:r>
      <w:r>
        <w:t xml:space="preserve"> a semi-chemostat approach, with a fixed prey productivity term </w:t>
      </w:r>
      <m:oMath>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and a first-order prey removal term </w:t>
      </w:r>
      <m:oMath>
        <m:r>
          <w:rPr>
            <w:rFonts w:ascii="Cambria Math" w:hAnsi="Cambria Math"/>
          </w:rPr>
          <m:t>δR</m:t>
        </m:r>
      </m:oMath>
      <w:r>
        <w:rPr>
          <w:rFonts w:eastAsiaTheme="minorEastAsia"/>
        </w:rPr>
        <w:t xml:space="preserve">. </w:t>
      </w:r>
      <w:r w:rsidR="002E224D">
        <w:rPr>
          <w:rFonts w:eastAsiaTheme="minorEastAsia"/>
        </w:rPr>
        <w:t xml:space="preserve">In absence of predation by whales, </w:t>
      </w:r>
      <w:r w:rsidR="0030547D">
        <w:rPr>
          <w:rFonts w:eastAsiaTheme="minorEastAsia"/>
        </w:rPr>
        <w:t xml:space="preserve">prey growth rate is a linear decreasing function of prey density and </w:t>
      </w:r>
      <w:r w:rsidR="002E224D">
        <w:rPr>
          <w:rFonts w:eastAsiaTheme="minorEastAsia"/>
        </w:rPr>
        <w:t xml:space="preserve">prey density equilibrates at </w:t>
      </w:r>
      <m:oMath>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rsidR="0030547D">
        <w:rPr>
          <w:rFonts w:eastAsiaTheme="minorEastAsia"/>
        </w:rPr>
        <w:t>.</w:t>
      </w:r>
      <w:r w:rsidR="00DF5AED">
        <w:rPr>
          <w:rFonts w:eastAsiaTheme="minorEastAsia"/>
        </w:rPr>
        <w:t xml:space="preserve"> </w:t>
      </w:r>
      <w:r w:rsidR="00184DA8">
        <w:rPr>
          <w:rFonts w:eastAsiaTheme="minorEastAsia"/>
        </w:rPr>
        <w:t xml:space="preserve">During analysis, the maximum prey density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C63152">
        <w:rPr>
          <w:rFonts w:eastAsiaTheme="minorEastAsia"/>
        </w:rPr>
        <w:t xml:space="preserve"> was varied to obtain a beaked whale population abundance that matched observed densities (around 100 </w:t>
      </w:r>
      <w:r w:rsidR="00C63152">
        <w:rPr>
          <w:rFonts w:eastAsiaTheme="minorEastAsia"/>
          <w:i/>
          <w:iCs/>
        </w:rPr>
        <w:t>Zc</w:t>
      </w:r>
      <w:r w:rsidR="00C63152">
        <w:rPr>
          <w:rFonts w:eastAsiaTheme="minorEastAsia"/>
        </w:rPr>
        <w:t xml:space="preserve"> and</w:t>
      </w:r>
      <w:r w:rsidR="00184DA8">
        <w:rPr>
          <w:rFonts w:eastAsiaTheme="minorEastAsia"/>
        </w:rPr>
        <w:t xml:space="preserve"> </w:t>
      </w:r>
      <w:r w:rsidR="006F07F7" w:rsidRPr="004B698A">
        <w:rPr>
          <w:rFonts w:eastAsiaTheme="minorEastAsia"/>
        </w:rPr>
        <w:t>60</w:t>
      </w:r>
      <w:r w:rsidR="00C63152">
        <w:rPr>
          <w:rFonts w:eastAsiaTheme="minorEastAsia"/>
        </w:rPr>
        <w:t xml:space="preserve"> </w:t>
      </w:r>
      <w:r w:rsidR="00C63152" w:rsidRPr="00C63152">
        <w:rPr>
          <w:rFonts w:eastAsiaTheme="minorEastAsia"/>
        </w:rPr>
        <w:t>Md</w:t>
      </w:r>
      <w:r w:rsidR="00C63152">
        <w:rPr>
          <w:rFonts w:eastAsiaTheme="minorEastAsia"/>
        </w:rPr>
        <w:t xml:space="preserve"> individuals)</w:t>
      </w:r>
      <w:r w:rsidR="003C25AA">
        <w:rPr>
          <w:rFonts w:eastAsiaTheme="minorEastAsia"/>
        </w:rPr>
        <w:t>.</w:t>
      </w:r>
      <w:r w:rsidR="00C63152">
        <w:rPr>
          <w:rFonts w:eastAsiaTheme="minorEastAsia"/>
        </w:rPr>
        <w:t xml:space="preserve"> </w:t>
      </w:r>
      <w:r w:rsidR="00DF5AED" w:rsidRPr="00C63152">
        <w:rPr>
          <w:rFonts w:eastAsiaTheme="minorEastAsia"/>
        </w:rPr>
        <w:t>Total</w:t>
      </w:r>
      <w:r w:rsidR="00DF5AED">
        <w:rPr>
          <w:rFonts w:eastAsiaTheme="minorEastAsia"/>
        </w:rPr>
        <w:t xml:space="preserve"> consumption of prey by all whales decrease</w:t>
      </w:r>
      <w:r w:rsidR="00BB2406">
        <w:rPr>
          <w:rFonts w:eastAsiaTheme="minorEastAsia"/>
        </w:rPr>
        <w:t>s</w:t>
      </w:r>
      <w:r w:rsidR="00DF5AED">
        <w:rPr>
          <w:rFonts w:eastAsiaTheme="minorEastAsia"/>
        </w:rPr>
        <w:t xml:space="preserve"> prey biomass</w:t>
      </w:r>
      <w:r w:rsidR="00586CBE">
        <w:rPr>
          <w:rFonts w:eastAsiaTheme="minorEastAsia"/>
        </w:rPr>
        <w:t xml:space="preserve">. </w:t>
      </w:r>
      <w:r w:rsidR="0095431F">
        <w:rPr>
          <w:rFonts w:eastAsiaTheme="minorEastAsia"/>
        </w:rPr>
        <w:t xml:space="preserve">For sake of simplicity, </w:t>
      </w:r>
      <w:r w:rsidR="00E0434C">
        <w:rPr>
          <w:rFonts w:eastAsiaTheme="minorEastAsia"/>
        </w:rPr>
        <w:t>prey biomass (MJ m</w:t>
      </w:r>
      <w:r w:rsidR="00E0434C" w:rsidRPr="00E0434C">
        <w:rPr>
          <w:rFonts w:eastAsiaTheme="minorEastAsia"/>
          <w:vertAlign w:val="superscript"/>
        </w:rPr>
        <w:t>-3</w:t>
      </w:r>
      <w:r w:rsidR="00E0434C">
        <w:rPr>
          <w:rFonts w:eastAsiaTheme="minorEastAsia"/>
        </w:rPr>
        <w:t xml:space="preserve">) </w:t>
      </w:r>
      <w:r w:rsidR="00BB2406">
        <w:rPr>
          <w:rFonts w:eastAsiaTheme="minorEastAsia"/>
        </w:rPr>
        <w:t xml:space="preserve">is expressed in MJ </w:t>
      </w:r>
      <w:r w:rsidR="0095431F">
        <w:rPr>
          <w:rFonts w:eastAsiaTheme="minorEastAsia"/>
        </w:rPr>
        <w:t xml:space="preserve">assimilated energy </w:t>
      </w:r>
      <w:r w:rsidR="00BB2406">
        <w:rPr>
          <w:rFonts w:eastAsiaTheme="minorEastAsia"/>
        </w:rPr>
        <w:t xml:space="preserve">and </w:t>
      </w:r>
      <w:r w:rsidR="00CF2AA8">
        <w:rPr>
          <w:rFonts w:eastAsiaTheme="minorEastAsia"/>
        </w:rPr>
        <w:t xml:space="preserve">therefore </w:t>
      </w:r>
      <w:r w:rsidR="00BB2406">
        <w:rPr>
          <w:rFonts w:eastAsiaTheme="minorEastAsia"/>
        </w:rPr>
        <w:t xml:space="preserve">includes </w:t>
      </w:r>
      <w:r w:rsidR="00CF2AA8">
        <w:rPr>
          <w:rFonts w:eastAsiaTheme="minorEastAsia"/>
        </w:rPr>
        <w:t xml:space="preserve">any overheads and efficiency </w:t>
      </w:r>
      <w:r w:rsidR="00FE660B">
        <w:rPr>
          <w:rFonts w:eastAsiaTheme="minorEastAsia"/>
        </w:rPr>
        <w:t>of</w:t>
      </w:r>
      <w:r w:rsidR="00CF2AA8">
        <w:rPr>
          <w:rFonts w:eastAsiaTheme="minorEastAsia"/>
        </w:rPr>
        <w:t xml:space="preserve"> prey assimilation by whales.</w:t>
      </w:r>
      <w:r w:rsidR="009D249E">
        <w:rPr>
          <w:rFonts w:eastAsiaTheme="minorEastAsia"/>
        </w:rPr>
        <w:t xml:space="preserve"> </w:t>
      </w:r>
      <w:r w:rsidR="007F6C18">
        <w:rPr>
          <w:rFonts w:eastAsiaTheme="minorEastAsia"/>
        </w:rPr>
        <w:t xml:space="preserve">The volume scalar </w:t>
      </w:r>
      <w:r w:rsidR="007F6C18">
        <w:rPr>
          <w:rFonts w:eastAsiaTheme="minorEastAsia"/>
          <w:i/>
          <w:iCs/>
        </w:rPr>
        <w:t>V</w:t>
      </w:r>
      <w:r w:rsidR="007F6C18">
        <w:rPr>
          <w:rFonts w:eastAsiaTheme="minorEastAsia"/>
        </w:rPr>
        <w:t xml:space="preserve"> converts the volume unit of prey density (m</w:t>
      </w:r>
      <w:r w:rsidR="007F6C18" w:rsidRPr="007F6C18">
        <w:rPr>
          <w:rFonts w:eastAsiaTheme="minorEastAsia"/>
          <w:vertAlign w:val="superscript"/>
        </w:rPr>
        <w:t>3</w:t>
      </w:r>
      <w:r w:rsidR="007F6C18">
        <w:rPr>
          <w:rFonts w:eastAsiaTheme="minorEastAsia"/>
        </w:rPr>
        <w:t>) to the volume unit of whale density (</w:t>
      </w:r>
      <w:r w:rsidR="007F6C18">
        <w:rPr>
          <w:rFonts w:eastAsiaTheme="minorEastAsia"/>
          <w:i/>
          <w:iCs/>
        </w:rPr>
        <w:t>V</w:t>
      </w:r>
      <w:r w:rsidR="007F6C18">
        <w:rPr>
          <w:rFonts w:eastAsiaTheme="minorEastAsia"/>
        </w:rPr>
        <w:t>m</w:t>
      </w:r>
      <w:r w:rsidR="007F6C18" w:rsidRPr="007F6C18">
        <w:rPr>
          <w:rFonts w:eastAsiaTheme="minorEastAsia"/>
          <w:vertAlign w:val="superscript"/>
        </w:rPr>
        <w:t>3</w:t>
      </w:r>
      <w:r w:rsidR="007F6C18">
        <w:rPr>
          <w:rFonts w:eastAsiaTheme="minorEastAsia"/>
        </w:rPr>
        <w:t xml:space="preserve">). </w:t>
      </w:r>
      <w:r w:rsidR="0067761A">
        <w:rPr>
          <w:rFonts w:eastAsiaTheme="minorEastAsia"/>
        </w:rPr>
        <w:t>The ordinary differential equation of prey biomass equals:</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410"/>
        <w:gridCol w:w="6095"/>
        <w:gridCol w:w="709"/>
      </w:tblGrid>
      <w:tr w:rsidR="00AE267D" w:rsidRPr="0057262B" w14:paraId="3ED65804" w14:textId="77777777" w:rsidTr="00AE267D">
        <w:tc>
          <w:tcPr>
            <w:tcW w:w="2410" w:type="dxa"/>
            <w:vAlign w:val="center"/>
          </w:tcPr>
          <w:p w14:paraId="651F1015" w14:textId="28A6AC92" w:rsidR="00746522" w:rsidRPr="006C5DB2" w:rsidRDefault="00746522" w:rsidP="00F366F5">
            <w:pPr>
              <w:pStyle w:val="NoSpacing"/>
              <w:rPr>
                <w:rFonts w:eastAsia="Cambria"/>
              </w:rPr>
            </w:pPr>
          </w:p>
        </w:tc>
        <w:tc>
          <w:tcPr>
            <w:tcW w:w="6095" w:type="dxa"/>
            <w:vAlign w:val="center"/>
          </w:tcPr>
          <w:p w14:paraId="73B8F335" w14:textId="4FE21535" w:rsidR="00746522" w:rsidRPr="006C5DB2" w:rsidRDefault="00746522" w:rsidP="00F366F5">
            <w:pPr>
              <w:pStyle w:val="NoSpacing"/>
              <w:rPr>
                <w:rFonts w:eastAsia="Cambria"/>
              </w:rPr>
            </w:pPr>
            <m:oMathPara>
              <m:oMathParaPr>
                <m:jc m:val="left"/>
              </m:oMathParaPr>
              <m:oMath>
                <m:f>
                  <m:fPr>
                    <m:ctrlPr>
                      <w:rPr>
                        <w:rFonts w:ascii="Cambria Math" w:hAnsi="Cambria Math"/>
                      </w:rPr>
                    </m:ctrlPr>
                  </m:fPr>
                  <m:num>
                    <m:r>
                      <m:rPr>
                        <m:nor/>
                      </m:rPr>
                      <w:rPr>
                        <w:rFonts w:ascii="Cambria Math" w:hAnsi="Cambria Math"/>
                      </w:rPr>
                      <m:t>d</m:t>
                    </m:r>
                    <m:r>
                      <w:rPr>
                        <w:rFonts w:ascii="Cambria Math" w:hAnsi="Cambria Math"/>
                      </w:rPr>
                      <m:t>R</m:t>
                    </m:r>
                  </m:num>
                  <m:den>
                    <m:r>
                      <m:rPr>
                        <m:nor/>
                      </m:rPr>
                      <w:rPr>
                        <w:rFonts w:ascii="Cambria Math" w:hAnsi="Cambria Math"/>
                      </w:rPr>
                      <m:t>d</m:t>
                    </m:r>
                    <m:r>
                      <w:rPr>
                        <w:rFonts w:ascii="Cambria Math" w:hAnsi="Cambria Math"/>
                      </w:rPr>
                      <m:t>t</m:t>
                    </m:r>
                  </m:den>
                </m:f>
                <m:r>
                  <w:rPr>
                    <w:rFonts w:ascii="Cambria Math" w:hAnsi="Cambria Math"/>
                  </w:rPr>
                  <m:t>=</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m:rPr>
                        <m:sty m:val="p"/>
                      </m:rPr>
                      <w:rPr>
                        <w:rFonts w:ascii="Cambria Math" w:hAnsi="Cambria Math"/>
                      </w:rPr>
                      <m:t>-</m:t>
                    </m:r>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-1</m:t>
                    </m:r>
                  </m:sup>
                </m:sSup>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I</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e>
                </m:nary>
              </m:oMath>
            </m:oMathPara>
          </w:p>
        </w:tc>
        <w:tc>
          <w:tcPr>
            <w:tcW w:w="709" w:type="dxa"/>
            <w:vAlign w:val="center"/>
          </w:tcPr>
          <w:p w14:paraId="19572294" w14:textId="76872CFB" w:rsidR="00746522" w:rsidRPr="0057262B" w:rsidRDefault="00746522" w:rsidP="00F366F5">
            <w:pPr>
              <w:pStyle w:val="NoSpacing"/>
              <w:jc w:val="left"/>
              <w:rPr>
                <w:i/>
                <w:iCs/>
              </w:rPr>
            </w:pPr>
            <w:r>
              <w:t>eq (</w:t>
            </w:r>
            <w:r w:rsidR="00F646A5">
              <w:t>2</w:t>
            </w:r>
            <w:r>
              <w:t>)</w:t>
            </w:r>
          </w:p>
        </w:tc>
      </w:tr>
    </w:tbl>
    <w:p w14:paraId="3B609D58" w14:textId="03B847D0" w:rsidR="007C1D8B" w:rsidRDefault="007C1D8B" w:rsidP="0082745D">
      <w:pPr>
        <w:pStyle w:val="Heading1"/>
      </w:pPr>
      <w:r>
        <w:lastRenderedPageBreak/>
        <w:t>Parameterization</w:t>
      </w:r>
    </w:p>
    <w:p w14:paraId="6D23B1B3" w14:textId="67732339" w:rsidR="00DB23AB" w:rsidRPr="00DB23AB" w:rsidRDefault="007C1D8B" w:rsidP="0082745D">
      <w:pPr>
        <w:pStyle w:val="Firstparagraph"/>
      </w:pPr>
      <w:r>
        <w:t xml:space="preserve">Little is known about the biology of beaked whales compared to other odontocetes and </w:t>
      </w:r>
      <w:r w:rsidR="00604CC6">
        <w:t xml:space="preserve">several </w:t>
      </w:r>
      <w:r>
        <w:t>parameter values for</w:t>
      </w:r>
      <w:r w:rsidR="00604CC6">
        <w:t xml:space="preserve"> </w:t>
      </w:r>
      <w:r w:rsidR="00604CC6">
        <w:rPr>
          <w:i/>
          <w:iCs/>
        </w:rPr>
        <w:t xml:space="preserve">Globicephala melas </w:t>
      </w:r>
      <w:r w:rsidR="00604CC6">
        <w:t xml:space="preserve">(hereafter </w:t>
      </w:r>
      <w:r w:rsidR="00604CC6">
        <w:rPr>
          <w:i/>
          <w:iCs/>
        </w:rPr>
        <w:t>Gm</w:t>
      </w:r>
      <w:r w:rsidR="00604CC6">
        <w:t>)</w:t>
      </w:r>
      <w:r>
        <w:t xml:space="preserve"> </w:t>
      </w:r>
      <w:r w:rsidR="00604CC6">
        <w:t xml:space="preserve">from </w:t>
      </w:r>
      <w:r w:rsidR="003D4664">
        <w:t xml:space="preserve">Hin et al. </w:t>
      </w:r>
      <w:r w:rsidR="00881EC6">
        <w:fldChar w:fldCharType="begin"/>
      </w:r>
      <w:r w:rsidR="003D4664">
        <w:instrText xml:space="preserve"> ADDIN ZOTERO_ITEM CSL_CITATION {"citationID":"ZGvAsKAk","properties":{"formattedCitation":"(2021, 2019)","plainCitation":"(2021, 2019)","noteIndex":0},"citationItems":[{"id":2377,"uris":["http://zotero.org/users/local/6qJKLD2C/items/AQ84RVRD"],"uri":["http://zotero.org/users/local/6qJKLD2C/items/AQ84RVRD"],"itemData":{"id":2377,"type":"article-journal","abstract":"Nonlethal disturbance of animals can cause behavioral and physiological changes that affect individual health status and vital rates, with potential consequences at the population level. Predicting these population effects remains a major challenge in ecology and conservation. Monitoring fitness-related traits may improve detection of upcoming population changes, but the extent to which individual traits are reliable indicators of disturbance exposure is not well understood, especially for populations regulated by density dependence. Here we study how density dependence affects a population’s response to disturbance and modifies the disturbance effects on individual health and vital rates. We extend an energy budget model for a medium-sized cetacean (the long-finned pilot whale\n              Globicephala melas\n              ) to an individual-based population model in which whales feed on a self-replenishing prey base and disturbance leads to cessation of feeding. In this coupled predator-prey system, the whale population is regulated through prey depletion and the onset of yearly repeating disturbances on the whale population at carrying capacity decreased population density and increased prey availability due to reduced top-down control. In populations faced with multiple days of continuous disturbance each year, female whales that were lactating their first calf experienced increased mortality due to depletion of energy stores. However, increased prey availability led to compensatory effects and resulted in a subsequent improvement of mean female body condition, mean age at first reproduction and higher age-specific reproductive output. These results indicate that prey-mediated density dependence can mask negative effects of disturbance on fitness-related traits and vital rates, a result with implications for the monitoring and management of marine mammal populations.","container-title":"PLOS ONE","DOI":"10.1371/journal.pone.0252677","ISSN":"1932-6203","issue":"6","journalAbbreviation":"PLoS ONE","language":"en","page":"e0252677","source":"DOI.org (Crossref)","title":"Density dependence can obscure nonlethal effects of disturbance on life history of medium-sized cetaceans","volume":"16","author":[{"family":"Hin","given":"Vincent"},{"family":"Harwood","given":"John"},{"family":"Roos","given":"André M.","non-dropping-particle":"de"}],"editor":[{"family":"Paiva","given":"Vitor Hugo Rodrigues"}],"issued":{"date-parts":[["2021",6,3]]}},"suppress-author":true},{"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w:instrText>
      </w:r>
      <w:r w:rsidR="003D4664">
        <w:rPr>
          <w:rFonts w:ascii="Cambria Math" w:hAnsi="Cambria Math" w:cs="Cambria Math"/>
        </w:rPr>
        <w:instrText>‐</w:instrText>
      </w:r>
      <w:r w:rsidR="003D4664">
        <w:instrText>energetic modeling of medium</w:instrText>
      </w:r>
      <w:r w:rsidR="003D4664">
        <w:rPr>
          <w:rFonts w:ascii="Cambria Math" w:hAnsi="Cambria Math" w:cs="Cambria Math"/>
        </w:rPr>
        <w:instrText>‐</w:instrText>
      </w:r>
      <w:r w:rsidR="003D4664">
        <w:instrText xml:space="preserve">sized cetaceans shows high sensitivity to disturbance in seasons of low resource supply","URL":"https://onlinelibrary.wiley.com/doi/abs/10.1002/eap.1903","volume":"29","author":[{"family":"Hin","given":"Vincent"},{"family":"Harwood","given":"John"},{"family":"De Roos","given":"André M."}],"accessed":{"date-parts":[["2020",5,6]]},"issued":{"date-parts":[["2019",7]]}},"suppress-author":true}],"schema":"https://github.com/citation-style-language/schema/raw/master/csl-citation.json"} </w:instrText>
      </w:r>
      <w:r w:rsidR="00881EC6">
        <w:fldChar w:fldCharType="separate"/>
      </w:r>
      <w:r w:rsidR="003D4664">
        <w:rPr>
          <w:noProof/>
        </w:rPr>
        <w:t>(2021, 2019)</w:t>
      </w:r>
      <w:r w:rsidR="00881EC6">
        <w:fldChar w:fldCharType="end"/>
      </w:r>
      <w:r w:rsidR="00881EC6">
        <w:t xml:space="preserve"> </w:t>
      </w:r>
      <w:r>
        <w:t xml:space="preserve">are therefore retained for </w:t>
      </w:r>
      <w:r w:rsidRPr="00604CC6">
        <w:rPr>
          <w:i/>
          <w:iCs/>
        </w:rPr>
        <w:t>Zc</w:t>
      </w:r>
      <w:r>
        <w:t xml:space="preserve"> and </w:t>
      </w:r>
      <w:r w:rsidRPr="00604CC6">
        <w:rPr>
          <w:i/>
          <w:iCs/>
        </w:rPr>
        <w:t>Md</w:t>
      </w:r>
      <w:r>
        <w:t>. Model parameter</w:t>
      </w:r>
      <w:r w:rsidR="003D4664">
        <w:t>s</w:t>
      </w:r>
      <w:r>
        <w:t xml:space="preserve"> </w:t>
      </w:r>
      <w:r w:rsidR="00F10BD0">
        <w:t xml:space="preserve">and their sources </w:t>
      </w:r>
      <w:r>
        <w:t xml:space="preserve">are summarized in Table </w:t>
      </w:r>
      <w:r w:rsidR="00DB0E58">
        <w:t xml:space="preserve">S3. </w:t>
      </w:r>
      <w:r w:rsidR="00A138E3">
        <w:t>Derivation of</w:t>
      </w:r>
      <w:r w:rsidR="00DB23AB">
        <w:t xml:space="preserve"> several parameter</w:t>
      </w:r>
      <w:r w:rsidR="00C64CB0">
        <w:t>s</w:t>
      </w:r>
      <w:r w:rsidR="00DB23AB">
        <w:t xml:space="preserve"> is described below.</w:t>
      </w:r>
    </w:p>
    <w:p w14:paraId="20EA386D" w14:textId="77777777" w:rsidR="009B502E" w:rsidRDefault="007C1D8B" w:rsidP="001A3E98">
      <w:pPr>
        <w:pStyle w:val="Heading2"/>
      </w:pPr>
      <w:r>
        <w:t>Asymptotic length</w:t>
      </w:r>
    </w:p>
    <w:p w14:paraId="455940E3" w14:textId="436E1CDC" w:rsidR="00F808AB" w:rsidRPr="00F808AB" w:rsidRDefault="007C1D8B" w:rsidP="0082745D">
      <w:pPr>
        <w:pStyle w:val="Firstparagraph"/>
      </w:pPr>
      <w:r>
        <w:t xml:space="preserve">Length estimates for beaked whales are given in </w:t>
      </w:r>
      <w:r w:rsidR="001F2506">
        <w:fldChar w:fldCharType="begin"/>
      </w:r>
      <w:r w:rsidR="00AE7073">
        <w:instrText xml:space="preserve"> ADDIN ZOTERO_ITEM CSL_CITATION {"citationID":"Ec6Ox6QW","properties":{"formattedCitation":"(Mead, 1984)","plainCitation":"(Mead, 1984)","dontUpdate":true,"noteIndex":0},"citationItems":[{"id":1856,"uris":["http://zotero.org/users/local/6qJKLD2C/items/RBLMNIDG"],"uri":["http://zotero.org/users/local/6qJKLD2C/items/RBLMNIDG"],"itemData":{"id":1856,"type":"article-journal","abstract":"Outside of Berardius bairdii and Hyperoodon ampullatus, the two species of ziphiids for which there have been commercial fisheries, little reproductive data are known. Mean length at birth ranges from 210 cm in Mesoplodon europaeus to 450 cm in B. bairdii. Maximum reported lengths range from a low of 430 cm for male Mesoplodon hectori to a high of 1,280 cm for female B. bairdii. Age at attainment of sexual maturity is known only for H. ampullatus and B. bairdii and ranges between 7 and 11 years. The maximum reported age of a ziphiid is 71 years for a male B. bairdii.","container-title":"Report of the International Whaling Commission, Special Issue 6","journalAbbreviation":"Rep Int Whal Commn (Special Issue 6)","language":"en","page":"91-96","source":"Zotero","title":"Survey of Reproductive Data for the Beaked Whales (&lt;i&gt;Ziphiidae&lt;/i&gt;)","author":[{"family":"Mead","given":"James G"}],"issued":{"date-parts":[["1984"]]}}}],"schema":"https://github.com/citation-style-language/schema/raw/master/csl-citation.json"} </w:instrText>
      </w:r>
      <w:r w:rsidR="001F2506">
        <w:fldChar w:fldCharType="separate"/>
      </w:r>
      <w:r w:rsidR="001F2506">
        <w:rPr>
          <w:noProof/>
        </w:rPr>
        <w:t>Mead (1984)</w:t>
      </w:r>
      <w:r w:rsidR="001F2506">
        <w:fldChar w:fldCharType="end"/>
      </w:r>
      <w:r w:rsidR="001F2506">
        <w:t xml:space="preserve"> </w:t>
      </w:r>
      <w:r>
        <w:t xml:space="preserve">and, more recently, </w:t>
      </w:r>
      <w:r w:rsidR="001F2506">
        <w:fldChar w:fldCharType="begin"/>
      </w:r>
      <w:r w:rsidR="00E279B7">
        <w:instrText xml:space="preserve"> ADDIN ZOTERO_ITEM CSL_CITATION {"citationID":"5JA0fzm7","properties":{"formattedCitation":"(MacLeod, 2006)","plainCitation":"(MacLeod, 2006)","dontUpdate":true,"noteIndex":0},"citationItems":[{"id":2215,"uris":["http://zotero.org/users/local/6qJKLD2C/items/H5IAG5DG"],"uri":["http://zotero.org/users/local/6qJKLD2C/items/H5IAG5DG"],"itemData":{"id":2215,"type":"article-journal","container-title":"Journal of Cetacean Research and Management","issue":"3","page":"301-308","title":"How big is a beaked whale? A review of body length and sexual size dimorphism in the family Ziphiidae","volume":"7","author":[{"family":"MacLeod","given":"Colin D."}],"issued":{"date-parts":[["2006"]]}}}],"schema":"https://github.com/citation-style-language/schema/raw/master/csl-citation.json"} </w:instrText>
      </w:r>
      <w:r w:rsidR="001F2506">
        <w:fldChar w:fldCharType="separate"/>
      </w:r>
      <w:r w:rsidR="001F2506">
        <w:rPr>
          <w:noProof/>
        </w:rPr>
        <w:t>MacLeod (2006)</w:t>
      </w:r>
      <w:r w:rsidR="001F2506">
        <w:fldChar w:fldCharType="end"/>
      </w:r>
      <w:r>
        <w:t>. According to</w:t>
      </w:r>
      <w:r w:rsidR="00996D73">
        <w:t xml:space="preserve"> </w:t>
      </w:r>
      <w:r w:rsidR="00996D73">
        <w:fldChar w:fldCharType="begin"/>
      </w:r>
      <w:r w:rsidR="00AE7073">
        <w:instrText xml:space="preserve"> ADDIN ZOTERO_ITEM CSL_CITATION {"citationID":"SlOuqbgh","properties":{"formattedCitation":"(Mead, 1984)","plainCitation":"(Mead, 1984)","dontUpdate":true,"noteIndex":0},"citationItems":[{"id":1856,"uris":["http://zotero.org/users/local/6qJKLD2C/items/RBLMNIDG"],"uri":["http://zotero.org/users/local/6qJKLD2C/items/RBLMNIDG"],"itemData":{"id":1856,"type":"article-journal","abstract":"Outside of Berardius bairdii and Hyperoodon ampullatus, the two species of ziphiids for which there have been commercial fisheries, little reproductive data are known. Mean length at birth ranges from 210 cm in Mesoplodon europaeus to 450 cm in B. bairdii. Maximum reported lengths range from a low of 430 cm for male Mesoplodon hectori to a high of 1,280 cm for female B. bairdii. Age at attainment of sexual maturity is known only for H. ampullatus and B. bairdii and ranges between 7 and 11 years. The maximum reported age of a ziphiid is 71 years for a male B. bairdii.","container-title":"Report of the International Whaling Commission, Special Issue 6","journalAbbreviation":"Rep Int Whal Commn (Special Issue 6)","language":"en","page":"91-96","source":"Zotero","title":"Survey of Reproductive Data for the Beaked Whales (&lt;i&gt;Ziphiidae&lt;/i&gt;)","author":[{"family":"Mead","given":"James G"}],"issued":{"date-parts":[["1984"]]}}}],"schema":"https://github.com/citation-style-language/schema/raw/master/csl-citation.json"} </w:instrText>
      </w:r>
      <w:r w:rsidR="00996D73">
        <w:fldChar w:fldCharType="separate"/>
      </w:r>
      <w:r w:rsidR="00996D73">
        <w:rPr>
          <w:noProof/>
        </w:rPr>
        <w:t>Mead (1984)</w:t>
      </w:r>
      <w:r w:rsidR="00996D73">
        <w:fldChar w:fldCharType="end"/>
      </w:r>
      <w:r>
        <w:t xml:space="preserve">, the maximum length of females </w:t>
      </w:r>
      <w:r w:rsidRPr="00240E06">
        <w:rPr>
          <w:i/>
          <w:iCs/>
        </w:rPr>
        <w:t>Zc</w:t>
      </w:r>
      <w:r>
        <w:t xml:space="preserve"> is 754 cm. However,</w:t>
      </w:r>
      <w:r w:rsidR="007D4970">
        <w:t xml:space="preserve"> </w:t>
      </w:r>
      <w:r w:rsidR="007D4970">
        <w:fldChar w:fldCharType="begin"/>
      </w:r>
      <w:r w:rsidR="00A91338">
        <w:instrText xml:space="preserve"> ADDIN ZOTERO_ITEM CSL_CITATION {"citationID":"5KxqHvLj","properties":{"formattedCitation":"(Heyning, 1989)","plainCitation":"(Heyning, 1989)","dontUpdate":true,"noteIndex":0},"citationItems":[{"id":2255,"uris":["http://zotero.org/users/local/6qJKLD2C/items/6VPJWI3N"],"uri":["http://zotero.org/users/local/6qJKLD2C/items/6VPJWI3N"],"itemData":{"id":2255,"type":"chapter","container-title":"Handbook of Marine Mammals","event-place":"London and San Diego","page":"289–308","publisher-place":"London and San Diego","title":"Cuvier’s beaked whale Ziphius cavirostris G. Cuvier, 1823","author":[{"family":"Heyning","given":"J E"}],"editor":[{"family":"Ridgway","given":"S H"},{"family":"Harrison","given":"R"}],"issued":{"date-parts":[["1989"]]}}}],"schema":"https://github.com/citation-style-language/schema/raw/master/csl-citation.json"} </w:instrText>
      </w:r>
      <w:r w:rsidR="007D4970">
        <w:fldChar w:fldCharType="separate"/>
      </w:r>
      <w:r w:rsidR="007D4970">
        <w:rPr>
          <w:noProof/>
        </w:rPr>
        <w:t>Heyning (1989)</w:t>
      </w:r>
      <w:r w:rsidR="007D4970">
        <w:fldChar w:fldCharType="end"/>
      </w:r>
      <w:r w:rsidR="00E279B7">
        <w:t xml:space="preserve"> </w:t>
      </w:r>
      <w:r>
        <w:t>notes that reported lengths &gt; 7</w:t>
      </w:r>
      <w:r w:rsidR="00953B59">
        <w:t xml:space="preserve"> </w:t>
      </w:r>
      <w:r>
        <w:t xml:space="preserve">m for </w:t>
      </w:r>
      <w:r w:rsidRPr="00240E06">
        <w:rPr>
          <w:i/>
          <w:iCs/>
        </w:rPr>
        <w:t>Zc</w:t>
      </w:r>
      <w:r>
        <w:t xml:space="preserve"> probably represent misidentified individuals, as these are all derived from individuals that co-</w:t>
      </w:r>
      <w:r w:rsidR="001D7171">
        <w:t>occurred</w:t>
      </w:r>
      <w:r>
        <w:t xml:space="preserve"> with larger beaked whale species (</w:t>
      </w:r>
      <w:proofErr w:type="spellStart"/>
      <w:r w:rsidRPr="00A95A8B">
        <w:rPr>
          <w:i/>
          <w:iCs/>
        </w:rPr>
        <w:t>Berardius</w:t>
      </w:r>
      <w:proofErr w:type="spellEnd"/>
      <w:r>
        <w:t xml:space="preserve"> spp. and </w:t>
      </w:r>
      <w:r w:rsidRPr="00A95A8B">
        <w:rPr>
          <w:i/>
          <w:iCs/>
        </w:rPr>
        <w:t>Hyperoodon</w:t>
      </w:r>
      <w:r>
        <w:t xml:space="preserve">). Indeed, the vast majority (93%) of </w:t>
      </w:r>
      <w:r w:rsidRPr="00AF7151">
        <w:rPr>
          <w:i/>
          <w:iCs/>
        </w:rPr>
        <w:t>Zc</w:t>
      </w:r>
      <w:r>
        <w:t xml:space="preserve"> individuals reported in </w:t>
      </w:r>
      <w:r w:rsidR="00A116E1">
        <w:fldChar w:fldCharType="begin"/>
      </w:r>
      <w:r w:rsidR="00A91338">
        <w:instrText xml:space="preserve"> ADDIN ZOTERO_ITEM CSL_CITATION {"citationID":"QdmxnOrl","properties":{"formattedCitation":"(MacLeod, 2006)","plainCitation":"(MacLeod, 2006)","dontUpdate":true,"noteIndex":0},"citationItems":[{"id":2215,"uris":["http://zotero.org/users/local/6qJKLD2C/items/H5IAG5DG"],"uri":["http://zotero.org/users/local/6qJKLD2C/items/H5IAG5DG"],"itemData":{"id":2215,"type":"article-journal","container-title":"Journal of Cetacean Research and Management","issue":"3","page":"301-308","title":"How big is a beaked whale? A review of body length and sexual size dimorphism in the family Ziphiidae","volume":"7","author":[{"family":"MacLeod","given":"Colin D."}],"issued":{"date-parts":[["2006"]]}}}],"schema":"https://github.com/citation-style-language/schema/raw/master/csl-citation.json"} </w:instrText>
      </w:r>
      <w:r w:rsidR="00A116E1">
        <w:fldChar w:fldCharType="separate"/>
      </w:r>
      <w:r w:rsidR="00A116E1">
        <w:rPr>
          <w:noProof/>
        </w:rPr>
        <w:t>MacLeod (2006)</w:t>
      </w:r>
      <w:r w:rsidR="00A116E1">
        <w:fldChar w:fldCharType="end"/>
      </w:r>
      <w:r>
        <w:t xml:space="preserve"> are under 7</w:t>
      </w:r>
      <w:r w:rsidR="00461F2B">
        <w:t xml:space="preserve"> </w:t>
      </w:r>
      <w:r>
        <w:t xml:space="preserve">m in length and according to </w:t>
      </w:r>
      <w:r w:rsidR="00A116E1">
        <w:fldChar w:fldCharType="begin"/>
      </w:r>
      <w:r w:rsidR="00A91338">
        <w:instrText xml:space="preserve"> ADDIN ZOTERO_ITEM CSL_CITATION {"citationID":"caG1tKBj","properties":{"formattedCitation":"(Heyning, 1989)","plainCitation":"(Heyning, 1989)","dontUpdate":true,"noteIndex":0},"citationItems":[{"id":2255,"uris":["http://zotero.org/users/local/6qJKLD2C/items/6VPJWI3N"],"uri":["http://zotero.org/users/local/6qJKLD2C/items/6VPJWI3N"],"itemData":{"id":2255,"type":"chapter","container-title":"Handbook of Marine Mammals","event-place":"London and San Diego","page":"289–308","publisher-place":"London and San Diego","title":"Cuvier’s beaked whale Ziphius cavirostris G. Cuvier, 1823","author":[{"family":"Heyning","given":"J E"}],"editor":[{"family":"Ridgway","given":"S H"},{"family":"Harrison","given":"R"}],"issued":{"date-parts":[["1989"]]}}}],"schema":"https://github.com/citation-style-language/schema/raw/master/csl-citation.json"} </w:instrText>
      </w:r>
      <w:r w:rsidR="00A116E1">
        <w:fldChar w:fldCharType="separate"/>
      </w:r>
      <w:r w:rsidR="00A116E1">
        <w:rPr>
          <w:noProof/>
        </w:rPr>
        <w:t>Heyning (1989)</w:t>
      </w:r>
      <w:r w:rsidR="00A116E1">
        <w:fldChar w:fldCharType="end"/>
      </w:r>
      <w:r>
        <w:t xml:space="preserve">, the largest accurately identified </w:t>
      </w:r>
      <w:r w:rsidRPr="00AF7151">
        <w:rPr>
          <w:i/>
          <w:iCs/>
        </w:rPr>
        <w:t>Zc</w:t>
      </w:r>
      <w:r>
        <w:t xml:space="preserve"> measured 693 cm in length. Data from catches of </w:t>
      </w:r>
      <w:r w:rsidRPr="00AF7151">
        <w:rPr>
          <w:i/>
          <w:iCs/>
        </w:rPr>
        <w:t>Zc</w:t>
      </w:r>
      <w:r>
        <w:t xml:space="preserve"> in the North Pacific indicate a maximum length for females of 670 cm</w:t>
      </w:r>
      <w:r w:rsidR="006804B2">
        <w:t xml:space="preserve"> </w:t>
      </w:r>
      <w:r w:rsidR="006804B2">
        <w:fldChar w:fldCharType="begin"/>
      </w:r>
      <w:r w:rsidR="006804B2">
        <w:instrText xml:space="preserve"> ADDIN ZOTERO_ITEM CSL_CITATION {"citationID":"H2BxJwrP","properties":{"formattedCitation":"(MacLeod, 2006; Nishiwaki and Oguro, 1972)","plainCitation":"(MacLeod, 2006; Nishiwaki and Oguro, 1972)","noteIndex":0},"citationItems":[{"id":2215,"uris":["http://zotero.org/users/local/6qJKLD2C/items/H5IAG5DG"],"uri":["http://zotero.org/users/local/6qJKLD2C/items/H5IAG5DG"],"itemData":{"id":2215,"type":"article-journal","container-title":"Journal of Cetacean Research and Management","issue":"3","page":"301-308","title":"How big is a beaked whale? A review of body length and sexual size dimorphism in the family Ziphiidae","volume":"7","author":[{"family":"MacLeod","given":"Colin D."}],"issued":{"date-parts":[["2006"]]}}},{"id":2212,"uris":["http://zotero.org/users/local/6qJKLD2C/items/565RXQWS"],"uri":["http://zotero.org/users/local/6qJKLD2C/items/565RXQWS"],"itemData":{"id":2212,"type":"article-journal","container-title":"Sci. Rep. Whales Res. Inst.","issue":"24","page":"35-41","title":"Catch of the Cuvier's Beaked Whales Off Japan in Recent Years","author":[{"family":"Nishiwaki","given":"Masaharu"},{"family":"Oguro","given":"Nobuo"}],"issued":{"date-parts":[["1972"]]}}}],"schema":"https://github.com/citation-style-language/schema/raw/master/csl-citation.json"} </w:instrText>
      </w:r>
      <w:r w:rsidR="006804B2">
        <w:fldChar w:fldCharType="separate"/>
      </w:r>
      <w:r w:rsidR="006804B2">
        <w:rPr>
          <w:noProof/>
        </w:rPr>
        <w:t>(MacLeod, 2006; Nishiwaki and Oguro, 1972)</w:t>
      </w:r>
      <w:r w:rsidR="006804B2">
        <w:fldChar w:fldCharType="end"/>
      </w:r>
      <w:r>
        <w:t xml:space="preserve">. </w:t>
      </w:r>
      <w:r w:rsidR="00F84B11">
        <w:t>Because</w:t>
      </w:r>
      <w:r>
        <w:t xml:space="preserve"> there is no significant different in total length between sexes of </w:t>
      </w:r>
      <w:r w:rsidRPr="0098543F">
        <w:rPr>
          <w:i/>
          <w:iCs/>
        </w:rPr>
        <w:t>Zc</w:t>
      </w:r>
      <w:r>
        <w:t xml:space="preserve">, we adopt 670 </w:t>
      </w:r>
      <w:r w:rsidR="00CB119E">
        <w:t xml:space="preserve">cm </w:t>
      </w:r>
      <w:r>
        <w:t xml:space="preserve">as our asymptotic length estimate for </w:t>
      </w:r>
      <w:r w:rsidRPr="00AF7151">
        <w:rPr>
          <w:i/>
          <w:iCs/>
        </w:rPr>
        <w:t>Zc</w:t>
      </w:r>
      <w:r>
        <w:t xml:space="preserve"> (</w:t>
      </w:r>
      <w:r w:rsidR="00701125">
        <w:t>T</w:t>
      </w:r>
      <w:r>
        <w:t>able</w:t>
      </w:r>
      <w:r w:rsidR="00701125">
        <w:t xml:space="preserve"> S3</w:t>
      </w:r>
      <w:r>
        <w:t xml:space="preserve">). For </w:t>
      </w:r>
      <w:r w:rsidRPr="0098543F">
        <w:rPr>
          <w:i/>
          <w:iCs/>
        </w:rPr>
        <w:t>Md</w:t>
      </w:r>
      <w:r>
        <w:t xml:space="preserve"> we adopt an asymptotic length of 475 cm, based on the observation by </w:t>
      </w:r>
      <w:r w:rsidR="006D3D1E">
        <w:fldChar w:fldCharType="begin"/>
      </w:r>
      <w:r w:rsidR="00A91338">
        <w:instrText xml:space="preserve"> ADDIN ZOTERO_ITEM CSL_CITATION {"citationID":"1T0MtMLb","properties":{"formattedCitation":"(MacLeod, 2006)","plainCitation":"(MacLeod, 2006)","dontUpdate":true,"noteIndex":0},"citationItems":[{"id":2215,"uris":["http://zotero.org/users/local/6qJKLD2C/items/H5IAG5DG"],"uri":["http://zotero.org/users/local/6qJKLD2C/items/H5IAG5DG"],"itemData":{"id":2215,"type":"article-journal","container-title":"Journal of Cetacean Research and Management","issue":"3","page":"301-308","title":"How big is a beaked whale? A review of body length and sexual size dimorphism in the family Ziphiidae","volume":"7","author":[{"family":"MacLeod","given":"Colin D."}],"issued":{"date-parts":[["2006"]]}}}],"schema":"https://github.com/citation-style-language/schema/raw/master/csl-citation.json"} </w:instrText>
      </w:r>
      <w:r w:rsidR="006D3D1E">
        <w:fldChar w:fldCharType="separate"/>
      </w:r>
      <w:r w:rsidR="006D3D1E">
        <w:rPr>
          <w:noProof/>
        </w:rPr>
        <w:t>MacLeod (2006)</w:t>
      </w:r>
      <w:r w:rsidR="006D3D1E">
        <w:fldChar w:fldCharType="end"/>
      </w:r>
      <w:r>
        <w:t xml:space="preserve"> that </w:t>
      </w:r>
      <w:r w:rsidRPr="007E5B6B">
        <w:rPr>
          <w:i/>
          <w:iCs/>
        </w:rPr>
        <w:t>Md</w:t>
      </w:r>
      <w:r>
        <w:t xml:space="preserve"> rarely reaches over 4.8 m in length.</w:t>
      </w:r>
    </w:p>
    <w:p w14:paraId="19481A82" w14:textId="74369A2F" w:rsidR="007C1D8B" w:rsidRPr="009C4D33" w:rsidRDefault="009827E7" w:rsidP="001A3E98">
      <w:pPr>
        <w:pStyle w:val="Heading2"/>
      </w:pPr>
      <w:r w:rsidRPr="009C4D33">
        <w:t>Size at birth</w:t>
      </w:r>
    </w:p>
    <w:p w14:paraId="392CF789" w14:textId="5532A0DC" w:rsidR="007C1D8B" w:rsidRDefault="007C1D8B" w:rsidP="0082745D">
      <w:pPr>
        <w:pStyle w:val="Firstparagraph"/>
      </w:pPr>
      <w:r>
        <w:t xml:space="preserve">For </w:t>
      </w:r>
      <w:r w:rsidRPr="009827E7">
        <w:rPr>
          <w:i/>
          <w:iCs/>
        </w:rPr>
        <w:t>Zc</w:t>
      </w:r>
      <w:r>
        <w:t>, we adopt the mean length at birth estimate of</w:t>
      </w:r>
      <w:r w:rsidR="006B3763">
        <w:t xml:space="preserve"> </w:t>
      </w:r>
      <w:r w:rsidR="00E01DB8">
        <w:fldChar w:fldCharType="begin"/>
      </w:r>
      <w:r w:rsidR="00AE7073">
        <w:instrText xml:space="preserve"> ADDIN ZOTERO_ITEM CSL_CITATION {"citationID":"s7AEN9N1","properties":{"formattedCitation":"(Mead, 1984)","plainCitation":"(Mead, 1984)","dontUpdate":true,"noteIndex":0},"citationItems":[{"id":1856,"uris":["http://zotero.org/users/local/6qJKLD2C/items/RBLMNIDG"],"uri":["http://zotero.org/users/local/6qJKLD2C/items/RBLMNIDG"],"itemData":{"id":1856,"type":"article-journal","abstract":"Outside of Berardius bairdii and Hyperoodon ampullatus, the two species of ziphiids for which there have been commercial fisheries, little reproductive data are known. Mean length at birth ranges from 210 cm in Mesoplodon europaeus to 450 cm in B. bairdii. Maximum reported lengths range from a low of 430 cm for male Mesoplodon hectori to a high of 1,280 cm for female B. bairdii. Age at attainment of sexual maturity is known only for H. ampullatus and B. bairdii and ranges between 7 and 11 years. The maximum reported age of a ziphiid is 71 years for a male B. bairdii.","container-title":"Report of the International Whaling Commission, Special Issue 6","journalAbbreviation":"Rep Int Whal Commn (Special Issue 6)","language":"en","page":"91-96","source":"Zotero","title":"Survey of Reproductive Data for the Beaked Whales (&lt;i&gt;Ziphiidae&lt;/i&gt;)","author":[{"family":"Mead","given":"James G"}],"issued":{"date-parts":[["1984"]]}}}],"schema":"https://github.com/citation-style-language/schema/raw/master/csl-citation.json"} </w:instrText>
      </w:r>
      <w:r w:rsidR="00E01DB8">
        <w:fldChar w:fldCharType="separate"/>
      </w:r>
      <w:r w:rsidR="00E01DB8">
        <w:rPr>
          <w:noProof/>
        </w:rPr>
        <w:t>Mead (1984)</w:t>
      </w:r>
      <w:r w:rsidR="00E01DB8">
        <w:fldChar w:fldCharType="end"/>
      </w:r>
      <w:r>
        <w:t>, which is 270 cm. Following</w:t>
      </w:r>
      <w:r w:rsidR="006B3763">
        <w:t xml:space="preserve"> </w:t>
      </w:r>
      <w:r w:rsidR="006B3763">
        <w:fldChar w:fldCharType="begin"/>
      </w:r>
      <w:r w:rsidR="00AE7073">
        <w:instrText xml:space="preserve"> ADDIN ZOTERO_ITEM CSL_CITATION {"citationID":"4GDkpmpA","properties":{"formattedCitation":"(New et al., 2013)","plainCitation":"(New et al., 2013)","noteIndex":0},"citationItems":[{"id":1951,"uris":["http://zotero.org/users/local/6qJKLD2C/items/KM2VZ4HH"],"uri":["http://zotero.org/users/local/6qJKLD2C/items/KM2VZ4HH"],"itemData":{"id":1951,"type":"article-journal","abstract":"Mass stranding of several species of beaked whales (family Ziphiidae) associated with exposure to anthropogenic sounds has raised concern for the conservation of these species. However, little is known about the species’ life histories, prey or habitat requirements. Without this knowledge, it becomes difficult to assess the effects of anthropogenic sound, since there is no way to determine whether the disturbance is impacting the species’ physical or environmental requirements. Here we take a bioenergetics approach to address this gap in our knowledge, as the elusive, deep-diving nature of beaked whales has made it hard to study these effects directly. We develop a model for Ziphiidae linking feeding energetics to the species’ requirements for survival and reproduction, since these life history traits would be the most likely to be impacted by nonlethal disturbances. Our models suggest that beaked whale reproduction requires energy dense prey, and that poor resource availability would lead to an extension of the inter-calving interval. Further, given current information, it seems that some beaked whale species require relatively high quality habitat in order to meet their requirements for survival and reproduction. As a result, even a small non-lethal disturbance that results in displacement of whales from preferred habitats could potentially impact a population if a significant proportion of that population was affected. We explored the impact of varying ecological parameters and model assumptions on survival and reproduction, and find that calf and fetus survival appear more readily affected than the survival of adult females.","container-title":"PLoS ONE","DOI":"10.1371/journal.pone.0068725","ISSN":"1932-6203","issue":"7","journalAbbreviation":"PLoS ONE","language":"en","page":"e68725","source":"DOI.org (Crossref)","title":"Using energetic models to investigate the survival and reproduction of beaked whales (family &lt;i&gt;Ziphiidae&lt;/i&gt;)","volume":"8","author":[{"family":"New","given":"Leslie F."},{"family":"Moretti","given":"David J."},{"family":"Hooker","given":"Sascha K."},{"family":"Costa","given":"Daniel P."},{"family":"Simmons","given":"Samantha E."}],"issued":{"date-parts":[["2013",7,17]]}}}],"schema":"https://github.com/citation-style-language/schema/raw/master/csl-citation.json"} </w:instrText>
      </w:r>
      <w:r w:rsidR="006B3763">
        <w:fldChar w:fldCharType="separate"/>
      </w:r>
      <w:r w:rsidR="006B3763">
        <w:rPr>
          <w:noProof/>
        </w:rPr>
        <w:t>(New et al., 2013)</w:t>
      </w:r>
      <w:r w:rsidR="006B3763">
        <w:fldChar w:fldCharType="end"/>
      </w:r>
      <w:r>
        <w:t xml:space="preserve">, length at birth for </w:t>
      </w:r>
      <w:r w:rsidRPr="009827E7">
        <w:rPr>
          <w:i/>
          <w:iCs/>
        </w:rPr>
        <w:t>Md</w:t>
      </w:r>
      <w:r>
        <w:t xml:space="preserve"> was set to 198 cm. This value also falls in between the length of longest fetus (190 cm) and length of shortest calf (261 cm), as reported by </w:t>
      </w:r>
      <w:r w:rsidR="00E01DB8">
        <w:fldChar w:fldCharType="begin"/>
      </w:r>
      <w:r w:rsidR="00AE7073">
        <w:instrText xml:space="preserve"> ADDIN ZOTERO_ITEM CSL_CITATION {"citationID":"u8NNTknh","properties":{"formattedCitation":"(Mead, 1984)","plainCitation":"(Mead, 1984)","dontUpdate":true,"noteIndex":0},"citationItems":[{"id":1856,"uris":["http://zotero.org/users/local/6qJKLD2C/items/RBLMNIDG"],"uri":["http://zotero.org/users/local/6qJKLD2C/items/RBLMNIDG"],"itemData":{"id":1856,"type":"article-journal","abstract":"Outside of Berardius bairdii and Hyperoodon ampullatus, the two species of ziphiids for which there have been commercial fisheries, little reproductive data are known. Mean length at birth ranges from 210 cm in Mesoplodon europaeus to 450 cm in B. bairdii. Maximum reported lengths range from a low of 430 cm for male Mesoplodon hectori to a high of 1,280 cm for female B. bairdii. Age at attainment of sexual maturity is known only for H. ampullatus and B. bairdii and ranges between 7 and 11 years. The maximum reported age of a ziphiid is 71 years for a male B. bairdii.","container-title":"Report of the International Whaling Commission, Special Issue 6","journalAbbreviation":"Rep Int Whal Commn (Special Issue 6)","language":"en","page":"91-96","source":"Zotero","title":"Survey of Reproductive Data for the Beaked Whales (&lt;i&gt;Ziphiidae&lt;/i&gt;)","author":[{"family":"Mead","given":"James G"}],"issued":{"date-parts":[["1984"]]}}}],"schema":"https://github.com/citation-style-language/schema/raw/master/csl-citation.json"} </w:instrText>
      </w:r>
      <w:r w:rsidR="00E01DB8">
        <w:fldChar w:fldCharType="separate"/>
      </w:r>
      <w:r w:rsidR="00E01DB8">
        <w:rPr>
          <w:noProof/>
        </w:rPr>
        <w:t>Mead (1984)</w:t>
      </w:r>
      <w:r w:rsidR="00E01DB8">
        <w:fldChar w:fldCharType="end"/>
      </w:r>
      <w:r>
        <w:t>.</w:t>
      </w:r>
    </w:p>
    <w:p w14:paraId="0D2113C5" w14:textId="49BDBECA" w:rsidR="007C1D8B" w:rsidRPr="00994FD3" w:rsidRDefault="007C1D8B" w:rsidP="001A3E98">
      <w:pPr>
        <w:pStyle w:val="Heading2"/>
      </w:pPr>
      <w:r w:rsidRPr="00994FD3">
        <w:t>Von Bertalanffy growth constant</w:t>
      </w:r>
    </w:p>
    <w:p w14:paraId="49002D9B" w14:textId="5091BF3F" w:rsidR="007C1D8B" w:rsidRDefault="007C1D8B" w:rsidP="0082745D">
      <w:pPr>
        <w:pStyle w:val="Firstparagraph"/>
      </w:pPr>
      <w:r>
        <w:t>The Von Bertalanffy growth constant was calculated by rewriting the growth equation and using estimates of mean age (</w:t>
      </w:r>
      <w:r w:rsidR="00435636" w:rsidRPr="00435636">
        <w:rPr>
          <w:i/>
          <w:iCs/>
        </w:rPr>
        <w:t>a</w:t>
      </w:r>
      <w:r w:rsidR="00435636" w:rsidRPr="00435636">
        <w:rPr>
          <w:i/>
          <w:iCs/>
          <w:vertAlign w:val="subscript"/>
        </w:rPr>
        <w:t>m</w:t>
      </w:r>
      <w:r>
        <w:t>) and length at sexual maturity (</w:t>
      </w:r>
      <w:proofErr w:type="spellStart"/>
      <w:r w:rsidR="00435636" w:rsidRPr="00435636">
        <w:rPr>
          <w:i/>
          <w:iCs/>
        </w:rPr>
        <w:t>l</w:t>
      </w:r>
      <w:r w:rsidR="00435636">
        <w:rPr>
          <w:i/>
          <w:iCs/>
        </w:rPr>
        <w:softHyphen/>
      </w:r>
      <w:r w:rsidR="00435636" w:rsidRPr="00435636">
        <w:rPr>
          <w:i/>
          <w:iCs/>
          <w:vertAlign w:val="subscript"/>
        </w:rPr>
        <w:t>m</w:t>
      </w:r>
      <w:proofErr w:type="spellEnd"/>
      <w:r>
        <w:t>)</w:t>
      </w:r>
      <w:r w:rsidR="00456877">
        <w:t>.</w:t>
      </w:r>
    </w:p>
    <w:p w14:paraId="26E26043" w14:textId="620BCFA5" w:rsidR="007C1D8B" w:rsidRDefault="00CB7613" w:rsidP="0082745D">
      <m:oMathPara>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m</m:t>
                  </m:r>
                </m:sub>
              </m:sSub>
            </m:den>
          </m:f>
          <m:r>
            <m:rPr>
              <m:nor/>
            </m: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num>
                <m:den>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b</m:t>
                      </m:r>
                    </m:sub>
                  </m:sSub>
                </m:den>
              </m:f>
            </m:e>
          </m:d>
        </m:oMath>
      </m:oMathPara>
    </w:p>
    <w:p w14:paraId="6B4C7E94" w14:textId="3983CA5D" w:rsidR="006D51AF" w:rsidRDefault="007C1D8B" w:rsidP="0082745D">
      <w:pPr>
        <w:pStyle w:val="Firstparagraph"/>
      </w:pPr>
      <w:r>
        <w:t xml:space="preserve">For </w:t>
      </w:r>
      <w:r w:rsidRPr="008E0F47">
        <w:rPr>
          <w:i/>
          <w:iCs/>
        </w:rPr>
        <w:t>Zc</w:t>
      </w:r>
      <w:r>
        <w:t xml:space="preserve">, </w:t>
      </w:r>
      <w:r w:rsidR="00276C7F">
        <w:fldChar w:fldCharType="begin"/>
      </w:r>
      <w:r w:rsidR="00AE7073">
        <w:instrText xml:space="preserve"> ADDIN ZOTERO_ITEM CSL_CITATION {"citationID":"beTKimG6","properties":{"formattedCitation":"(Mead, 1984)","plainCitation":"(Mead, 1984)","dontUpdate":true,"noteIndex":0},"citationItems":[{"id":1856,"uris":["http://zotero.org/users/local/6qJKLD2C/items/RBLMNIDG"],"uri":["http://zotero.org/users/local/6qJKLD2C/items/RBLMNIDG"],"itemData":{"id":1856,"type":"article-journal","abstract":"Outside of Berardius bairdii and Hyperoodon ampullatus, the two species of ziphiids for which there have been commercial fisheries, little reproductive data are known. Mean length at birth ranges from 210 cm in Mesoplodon europaeus to 450 cm in B. bairdii. Maximum reported lengths range from a low of 430 cm for male Mesoplodon hectori to a high of 1,280 cm for female B. bairdii. Age at attainment of sexual maturity is known only for H. ampullatus and B. bairdii and ranges between 7 and 11 years. The maximum reported age of a ziphiid is 71 years for a male B. bairdii.","container-title":"Report of the International Whaling Commission, Special Issue 6","journalAbbreviation":"Rep Int Whal Commn (Special Issue 6)","language":"en","page":"91-96","source":"Zotero","title":"Survey of Reproductive Data for the Beaked Whales (&lt;i&gt;Ziphiidae&lt;/i&gt;)","author":[{"family":"Mead","given":"James G"}],"issued":{"date-parts":[["1984"]]}}}],"schema":"https://github.com/citation-style-language/schema/raw/master/csl-citation.json"} </w:instrText>
      </w:r>
      <w:r w:rsidR="00276C7F">
        <w:fldChar w:fldCharType="separate"/>
      </w:r>
      <w:r w:rsidR="00276C7F">
        <w:rPr>
          <w:noProof/>
        </w:rPr>
        <w:t>Mead (1984)</w:t>
      </w:r>
      <w:r w:rsidR="00276C7F">
        <w:fldChar w:fldCharType="end"/>
      </w:r>
      <w:r>
        <w:t xml:space="preserve"> reports mean length at sexual maturity of 580 cm and age at sexual maturity was estimated at 2250 days, which give</w:t>
      </w:r>
      <w:r w:rsidR="005F2EDF">
        <w:t xml:space="preserve"> </w:t>
      </w:r>
      <w:r w:rsidR="005F2EDF">
        <w:rPr>
          <w:i/>
          <w:iCs/>
        </w:rPr>
        <w:t>k</w:t>
      </w:r>
      <w:r w:rsidR="005F2EDF">
        <w:t xml:space="preserve"> = 0.000663</w:t>
      </w:r>
      <w:r>
        <w:t xml:space="preserve"> for Zc. Applying the same procedure for </w:t>
      </w:r>
      <w:r w:rsidRPr="008E0F47">
        <w:rPr>
          <w:i/>
          <w:iCs/>
        </w:rPr>
        <w:t>Md</w:t>
      </w:r>
      <w:r>
        <w:t xml:space="preserve"> with mean length and age at sexual maturity of, respectively, 378 cm and 3285 days</w:t>
      </w:r>
      <w:r w:rsidR="00CB7613">
        <w:t xml:space="preserve"> </w:t>
      </w:r>
      <w:r w:rsidR="00A91338">
        <w:fldChar w:fldCharType="begin"/>
      </w:r>
      <w:r w:rsidR="00435636">
        <w:instrText xml:space="preserve"> ADDIN ZOTERO_ITEM CSL_CITATION {"citationID":"iSrI1BEn","properties":{"formattedCitation":"(9 yrs; Claridge, 2013)","plainCitation":"(9 yrs; Claridge, 2013)","noteIndex":0},"citationItems":[{"id":1806,"uris":["http://zotero.org/users/local/6qJKLD2C/items/GCE98GL2"],"uri":["http://zotero.org/users/local/6qJKLD2C/items/GCE98GL2"],"itemData":{"id":1806,"type":"thesis","event-place":"St.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E"}],"issued":{"date-parts":[["2013"]]}},"prefix":"9 yrs;"}],"schema":"https://github.com/citation-style-language/schema/raw/master/csl-citation.json"} </w:instrText>
      </w:r>
      <w:r w:rsidR="00A91338">
        <w:fldChar w:fldCharType="separate"/>
      </w:r>
      <w:r w:rsidR="00435636">
        <w:rPr>
          <w:noProof/>
        </w:rPr>
        <w:t>(9 yrs; Claridge, 2013)</w:t>
      </w:r>
      <w:r w:rsidR="00A91338">
        <w:fldChar w:fldCharType="end"/>
      </w:r>
      <w:r>
        <w:t xml:space="preserve"> gives</w:t>
      </w:r>
      <w:r w:rsidR="005F2EDF">
        <w:rPr>
          <w:rFonts w:eastAsiaTheme="minorEastAsia"/>
        </w:rPr>
        <w:t xml:space="preserve"> </w:t>
      </w:r>
      <w:r w:rsidR="005F2EDF">
        <w:rPr>
          <w:rFonts w:eastAsiaTheme="minorEastAsia"/>
          <w:i/>
          <w:iCs/>
        </w:rPr>
        <w:t>k</w:t>
      </w:r>
      <w:r w:rsidR="005F2EDF">
        <w:rPr>
          <w:rFonts w:eastAsiaTheme="minorEastAsia"/>
        </w:rPr>
        <w:t xml:space="preserve"> = 0.000319</w:t>
      </w:r>
      <w:r>
        <w:t>.</w:t>
      </w:r>
    </w:p>
    <w:p w14:paraId="61B87FDB" w14:textId="0BFA15B6" w:rsidR="006D51AF" w:rsidRDefault="006D51AF" w:rsidP="001A3E98">
      <w:pPr>
        <w:pStyle w:val="Heading2"/>
      </w:pPr>
      <w:r>
        <w:t xml:space="preserve">Structural length – </w:t>
      </w:r>
      <w:r w:rsidR="003E013A">
        <w:t xml:space="preserve">mass </w:t>
      </w:r>
      <w:r>
        <w:t>relationship</w:t>
      </w:r>
    </w:p>
    <w:p w14:paraId="2E8F59DB" w14:textId="77777777" w:rsidR="00577F13" w:rsidRDefault="006D51AF" w:rsidP="0082745D">
      <w:pPr>
        <w:pStyle w:val="Firstparagraph"/>
      </w:pPr>
      <w:r>
        <w:t>To estimate the scaling constant and exponent</w:t>
      </w:r>
      <w:r w:rsidR="003E013A">
        <w:t xml:space="preserve"> of the length – mass relationship of structure</w:t>
      </w:r>
      <w:r>
        <w:t xml:space="preserve">, we collect length-weight data from stranded </w:t>
      </w:r>
      <w:r w:rsidRPr="00C33E9B">
        <w:rPr>
          <w:i/>
          <w:iCs/>
        </w:rPr>
        <w:t>Zc</w:t>
      </w:r>
      <w:r>
        <w:t xml:space="preserve"> and </w:t>
      </w:r>
      <w:r w:rsidRPr="00C33E9B">
        <w:rPr>
          <w:i/>
          <w:iCs/>
        </w:rPr>
        <w:t>Md</w:t>
      </w:r>
      <w:r>
        <w:t xml:space="preserve"> individual</w:t>
      </w:r>
      <w:r w:rsidR="00965BC8">
        <w:t>s</w:t>
      </w:r>
      <w:r>
        <w:t xml:space="preserve">. Data from emaciated or starved individuals were excluded from analysis, as well as those reported to be in a moderate or </w:t>
      </w:r>
    </w:p>
    <w:p w14:paraId="3333014C" w14:textId="6CEE4B92" w:rsidR="00577F13" w:rsidRPr="0009170C" w:rsidRDefault="0044046E" w:rsidP="00577F13">
      <w:pPr>
        <w:pStyle w:val="NoSpacing"/>
        <w:jc w:val="left"/>
      </w:pPr>
      <w:r>
        <w:rPr>
          <w:noProof/>
        </w:rPr>
        <w:lastRenderedPageBreak/>
        <w:drawing>
          <wp:anchor distT="0" distB="0" distL="114300" distR="114300" simplePos="0" relativeHeight="251658240" behindDoc="0" locked="0" layoutInCell="1" allowOverlap="1" wp14:anchorId="3CD5D097" wp14:editId="6AADD6CB">
            <wp:simplePos x="0" y="0"/>
            <wp:positionH relativeFrom="column">
              <wp:posOffset>1203057</wp:posOffset>
            </wp:positionH>
            <wp:positionV relativeFrom="paragraph">
              <wp:posOffset>192071</wp:posOffset>
            </wp:positionV>
            <wp:extent cx="3354993" cy="2682240"/>
            <wp:effectExtent l="0" t="0" r="0" b="0"/>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3354993" cy="2682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F13" w:rsidRPr="00A26EA2">
        <w:rPr>
          <w:b/>
          <w:bCs/>
        </w:rPr>
        <w:t>Figure S</w:t>
      </w:r>
      <w:r w:rsidR="00577F13" w:rsidRPr="00A26EA2">
        <w:rPr>
          <w:b/>
          <w:bCs/>
        </w:rPr>
        <w:fldChar w:fldCharType="begin"/>
      </w:r>
      <w:r w:rsidR="00577F13" w:rsidRPr="00A26EA2">
        <w:rPr>
          <w:b/>
          <w:bCs/>
        </w:rPr>
        <w:instrText xml:space="preserve"> SEQ Figure_S \* ARABIC </w:instrText>
      </w:r>
      <w:r w:rsidR="00577F13" w:rsidRPr="00A26EA2">
        <w:rPr>
          <w:b/>
          <w:bCs/>
        </w:rPr>
        <w:fldChar w:fldCharType="separate"/>
      </w:r>
      <w:r w:rsidR="00577F13">
        <w:rPr>
          <w:b/>
          <w:bCs/>
          <w:noProof/>
        </w:rPr>
        <w:t>1</w:t>
      </w:r>
      <w:r w:rsidR="00577F13" w:rsidRPr="00A26EA2">
        <w:rPr>
          <w:b/>
          <w:bCs/>
        </w:rPr>
        <w:fldChar w:fldCharType="end"/>
      </w:r>
      <w:r w:rsidR="00577F13">
        <w:t xml:space="preserve"> : Length-weight relationship of various stranded beaked whales</w:t>
      </w:r>
    </w:p>
    <w:p w14:paraId="46C59E45" w14:textId="6EC3E9D4" w:rsidR="00577F13" w:rsidRDefault="00577F13" w:rsidP="00577F13">
      <w:pPr>
        <w:pStyle w:val="NoSpacing"/>
      </w:pPr>
    </w:p>
    <w:p w14:paraId="4E2C14A0" w14:textId="10DBAD14" w:rsidR="00853A41" w:rsidRDefault="006D51AF" w:rsidP="0082745D">
      <w:pPr>
        <w:pStyle w:val="Firstparagraph"/>
      </w:pPr>
      <w:r>
        <w:t xml:space="preserve">advanced state of decomposition. Because of the limited number of data points, we pooled observations from both species and fitted a single equation. This approach is supported by the general observation that body shape and proportions are </w:t>
      </w:r>
      <w:r w:rsidR="00965BC8">
        <w:t>extremely</w:t>
      </w:r>
      <w:r>
        <w:t xml:space="preserve"> conserved in </w:t>
      </w:r>
      <w:r w:rsidR="00965BC8">
        <w:t>Z</w:t>
      </w:r>
      <w:r>
        <w:t xml:space="preserve">iphiids </w:t>
      </w:r>
      <w:r w:rsidR="00E80568">
        <w:fldChar w:fldCharType="begin"/>
      </w:r>
      <w:r w:rsidR="00E80568">
        <w:instrText xml:space="preserve"> ADDIN ZOTERO_ITEM CSL_CITATION {"citationID":"fv0Qut5M","properties":{"formattedCitation":"(Mead et al., 1982)","plainCitation":"(Mead et al., 1982)","noteIndex":0},"citationItems":[{"id":2216,"uris":["http://zotero.org/users/local/6qJKLD2C/items/PTE3YW58"],"uri":["http://zotero.org/users/local/6qJKLD2C/items/PTE3YW58"],"itemData":{"id":2216,"type":"book","collection-number":"344","collection-title":"Smithsonian Contributions to Zoology","event-place":"Washington","publisher":"Smithsonian Institution Press","publisher-place":"Washington","title":"Biological Observations on Mesoplodon carlhubbsi (Cetacea: Ziphiidae)","author":[{"family":"Mead","given":"James G"},{"family":"Walker","given":"William A"},{"family":"Houck","given":"Warren J."}],"issued":{"date-parts":[["1982"]]}}}],"schema":"https://github.com/citation-style-language/schema/raw/master/csl-citation.json"} </w:instrText>
      </w:r>
      <w:r w:rsidR="00E80568">
        <w:fldChar w:fldCharType="separate"/>
      </w:r>
      <w:r w:rsidR="00E80568">
        <w:rPr>
          <w:noProof/>
        </w:rPr>
        <w:t>(Mead et al., 1982)</w:t>
      </w:r>
      <w:r w:rsidR="00E80568">
        <w:fldChar w:fldCharType="end"/>
      </w:r>
      <w:r>
        <w:t>. The data and the fitted equation are shown in Figure</w:t>
      </w:r>
      <w:r w:rsidR="001B078D">
        <w:t xml:space="preserve"> S2</w:t>
      </w:r>
      <w:r>
        <w:t>.</w:t>
      </w:r>
      <w:r w:rsidR="00853A41">
        <w:t xml:space="preserve"> </w:t>
      </w:r>
      <w:r w:rsidR="00853A41" w:rsidRPr="007C1D8B">
        <w:t>We assume that 27% of total weight consist</w:t>
      </w:r>
      <w:r w:rsidR="002C19F6">
        <w:t>ed</w:t>
      </w:r>
      <w:r w:rsidR="00853A41" w:rsidRPr="007C1D8B">
        <w:t xml:space="preserve"> of reserve mass and multipl</w:t>
      </w:r>
      <w:r w:rsidR="00196F0A">
        <w:t>ied</w:t>
      </w:r>
      <w:r w:rsidR="00853A41" w:rsidRPr="007C1D8B">
        <w:t xml:space="preserve"> the scaling constant by (1</w:t>
      </w:r>
      <w:r w:rsidR="000B51B2">
        <w:t xml:space="preserve"> – </w:t>
      </w:r>
      <w:r w:rsidR="00853A41" w:rsidRPr="007C1D8B">
        <w:t xml:space="preserve">0.27) to obtain </w:t>
      </w:r>
      <m:oMath>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1</m:t>
            </m:r>
          </m:sub>
        </m:sSub>
        <m:r>
          <w:rPr>
            <w:rFonts w:ascii="Cambria Math" w:hAnsi="Cambria Math"/>
          </w:rPr>
          <m:t>=2.93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-5</m:t>
            </m:r>
          </m:sup>
        </m:sSup>
      </m:oMath>
      <w:r w:rsidR="00853A41" w:rsidRPr="007C1D8B">
        <w:t>.</w:t>
      </w:r>
      <w:r w:rsidR="00846316">
        <w:t xml:space="preserve"> </w:t>
      </w:r>
      <w:r w:rsidR="00444446">
        <w:t xml:space="preserve">Applying these estimates to newborns that are assumed to receive minimum </w:t>
      </w:r>
      <w:proofErr w:type="gramStart"/>
      <w:r w:rsidR="00444446">
        <w:t>amount</w:t>
      </w:r>
      <w:proofErr w:type="gramEnd"/>
      <w:r w:rsidR="00444446">
        <w:t xml:space="preserve"> of reserves (Table S2) leads to </w:t>
      </w:r>
      <w:r w:rsidR="00444446">
        <w:rPr>
          <w:i/>
          <w:iCs/>
        </w:rPr>
        <w:t>F</w:t>
      </w:r>
      <w:r w:rsidR="00444446">
        <w:rPr>
          <w:i/>
          <w:iCs/>
          <w:vertAlign w:val="subscript"/>
        </w:rPr>
        <w:t>b</w:t>
      </w:r>
      <w:r w:rsidR="00444446">
        <w:t xml:space="preserve"> = 13.9 for </w:t>
      </w:r>
      <w:r w:rsidR="00444446">
        <w:rPr>
          <w:i/>
          <w:iCs/>
        </w:rPr>
        <w:t>Md</w:t>
      </w:r>
      <w:r w:rsidR="00444446">
        <w:t xml:space="preserve"> and </w:t>
      </w:r>
      <w:r w:rsidR="00444446" w:rsidRPr="00444446">
        <w:rPr>
          <w:i/>
          <w:iCs/>
        </w:rPr>
        <w:t>F</w:t>
      </w:r>
      <w:r w:rsidR="00444446" w:rsidRPr="00444446">
        <w:rPr>
          <w:i/>
          <w:iCs/>
          <w:vertAlign w:val="subscript"/>
        </w:rPr>
        <w:t>b</w:t>
      </w:r>
      <w:r w:rsidR="00444446">
        <w:t xml:space="preserve"> = 33.2 for </w:t>
      </w:r>
      <w:r w:rsidR="00444446">
        <w:rPr>
          <w:i/>
          <w:iCs/>
        </w:rPr>
        <w:t>Zc</w:t>
      </w:r>
      <w:r w:rsidR="00444446">
        <w:t xml:space="preserve"> (Table S3)</w:t>
      </w:r>
      <w:r w:rsidR="000B6379">
        <w:t>.</w:t>
      </w:r>
    </w:p>
    <w:p w14:paraId="5CB9A553" w14:textId="77777777" w:rsidR="00577F13" w:rsidRDefault="00577F13" w:rsidP="00577F13">
      <w:pPr>
        <w:pStyle w:val="Heading2"/>
      </w:pPr>
      <w:r>
        <w:t>Energetic parameters</w:t>
      </w:r>
    </w:p>
    <w:p w14:paraId="5CBD9A2B" w14:textId="77777777" w:rsidR="0083084D" w:rsidRDefault="00577F13" w:rsidP="0083084D">
      <w:pPr>
        <w:pStyle w:val="Firstparagraph"/>
        <w:rPr>
          <w:rFonts w:eastAsiaTheme="minorEastAsia"/>
        </w:rPr>
      </w:pPr>
      <w:r>
        <w:t xml:space="preserve">We set the metabolic rate constant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m:t>
            </m:r>
          </m:sub>
        </m:sSub>
      </m:oMath>
      <w:r>
        <w:t xml:space="preserve"> to 0.6, which equals 2 times the resting metabolic rate as estimated by </w:t>
      </w:r>
      <w:r>
        <w:fldChar w:fldCharType="begin"/>
      </w:r>
      <w:r>
        <w:instrText xml:space="preserve"> ADDIN ZOTERO_ITEM CSL_CITATION {"citationID":"ocgUS8ZQ","properties":{"formattedCitation":"(Kleiber, 1975)","plainCitation":"(Kleiber, 1975)","dontUpdate":true,"noteIndex":0},"citationItems":[{"id":2177,"uris":["http://zotero.org/users/local/6qJKLD2C/items/CQ2CR9BT"],"uri":["http://zotero.org/users/local/6qJKLD2C/items/CQ2CR9BT"],"itemData":{"id":2177,"type":"book","event-place":"Huntington, N.Y.","publisher":"R.E. Krieger Pub. Co.","publisher-place":"Huntington, N.Y.","title":"The fire of life: an introduction to animal energetics","author":[{"family":"Kleiber","given":"M."}],"issued":{"date-parts":[["1975"]]}}}],"schema":"https://github.com/citation-style-language/schema/raw/master/csl-citation.json"} </w:instrText>
      </w:r>
      <w:r>
        <w:fldChar w:fldCharType="separate"/>
      </w:r>
      <w:r>
        <w:rPr>
          <w:noProof/>
        </w:rPr>
        <w:t>Kleiber (1975)</w:t>
      </w:r>
      <w:r>
        <w:fldChar w:fldCharType="end"/>
      </w:r>
      <w:r>
        <w:t xml:space="preserve">. This low proportionality constant reflects the ‘cheap’ body structure and low energy expenditure that is associated with extreme deep-diving lifestyle of beaked whales </w:t>
      </w:r>
      <w:r>
        <w:fldChar w:fldCharType="begin"/>
      </w:r>
      <w:r>
        <w:instrText xml:space="preserve"> ADDIN ZOTERO_ITEM CSL_CITATION {"citationID":"AQ8GB34b","properties":{"formattedCitation":"(Pabst et al., 2016)","plainCitation":"(Pabst et al., 2016)","noteIndex":0},"citationItems":[{"id":1664,"uris":["http://zotero.org/users/local/6qJKLD2C/items/RAHP5PZI"],"uri":["http://zotero.org/users/local/6qJKLD2C/items/RAHP5PZI"],"itemData":{"id":1664,"type":"article-journal","container-title":"Integrative and Comparative Biology","DOI":"10.1093/icb/icw126","ISSN":"1540-7063, 1557-7023","issue":"6","journalAbbreviation":"Integr. Comp. Biol.","language":"en","page":"1337-1348","source":"DOI.org (Crossref)","title":"How to Build a Deep Diver: The Extreme Morphology of Mesoplodonts","title-short":"How to Build a Deep Diver","volume":"56","author":[{"family":"Pabst","given":"D. Ann"},{"family":"McLellan","given":"William A."},{"family":"Rommel","given":"Sentiel A."}],"issued":{"date-parts":[["2016",12]]}}}],"schema":"https://github.com/citation-style-language/schema/raw/master/csl-citation.json"} </w:instrText>
      </w:r>
      <w:r>
        <w:fldChar w:fldCharType="separate"/>
      </w:r>
      <w:r>
        <w:rPr>
          <w:noProof/>
        </w:rPr>
        <w:t>(Pabst et al., 2016)</w:t>
      </w:r>
      <w:r>
        <w:fldChar w:fldCharType="end"/>
      </w:r>
      <w:r>
        <w:t xml:space="preserve">. The parameters </w:t>
      </w:r>
      <m:oMath>
        <m:sSub>
          <m:sSubPr>
            <m:ctrlPr>
              <w:rPr>
                <w:rFonts w:ascii="Cambria Math" w:hAnsi="Cambria Math"/>
                <w:i/>
              </w:rPr>
            </m:ctrlPr>
          </m:sSubPr>
          <m:e>
            <m:r>
              <w:rPr>
                <w:rFonts w:ascii="Cambria Math" w:hAnsi="Cambria Math"/>
              </w:rPr>
              <m:t>ε</m:t>
            </m:r>
            <m:ctrlPr>
              <w:rPr>
                <w:rFonts w:ascii="Cambria Math" w:hAnsi="Cambria Math"/>
              </w:rPr>
            </m:ctrlPr>
          </m:e>
          <m:sub>
            <m:r>
              <w:rPr>
                <w:rFonts w:ascii="Cambria Math" w:hAnsi="Cambria Math"/>
              </w:rPr>
              <m:t>+</m:t>
            </m:r>
          </m:sub>
        </m:sSub>
      </m:oMath>
      <w:r>
        <w:t xml:space="preserve"> and </w:t>
      </w:r>
      <m:oMath>
        <m:sSub>
          <m:sSubPr>
            <m:ctrlPr>
              <w:rPr>
                <w:rFonts w:ascii="Cambria Math" w:hAnsi="Cambria Math"/>
                <w:i/>
              </w:rPr>
            </m:ctrlPr>
          </m:sSubPr>
          <m:e>
            <m:r>
              <w:rPr>
                <w:rFonts w:ascii="Cambria Math" w:hAnsi="Cambria Math"/>
              </w:rPr>
              <m:t>ε</m:t>
            </m:r>
            <m:ctrlPr>
              <w:rPr>
                <w:rFonts w:ascii="Cambria Math" w:hAnsi="Cambria Math"/>
              </w:rPr>
            </m:ctrlPr>
          </m:e>
          <m:sub>
            <m:r>
              <w:rPr>
                <w:rFonts w:ascii="Cambria Math" w:hAnsi="Cambria Math"/>
              </w:rPr>
              <m:t>-</m:t>
            </m:r>
          </m:sub>
        </m:sSub>
      </m:oMath>
      <w:r>
        <w:t xml:space="preserve"> represent the anabolic and catabolic conversion efficiencies of build-up and use of reserves. For </w:t>
      </w:r>
      <w:r w:rsidRPr="00853169">
        <w:rPr>
          <w:i/>
          <w:iCs/>
        </w:rPr>
        <w:t>Gm</w:t>
      </w:r>
      <w:r>
        <w:t xml:space="preserve">, </w:t>
      </w:r>
      <w:r>
        <w:fldChar w:fldCharType="begin"/>
      </w:r>
      <w:r>
        <w:instrText xml:space="preserve"> ADDIN ZOTERO_ITEM CSL_CITATION {"citationID":"UkGKi9Vt","properties":{"formattedCitation":"(Hin et al., 2019)","plainCitation":"(Hin et al., 2019)","dontUpdate":true,"noteIndex":0},"citationItems":[{"id":1888,"uris":["http://zotero.org/users/local/6qJKLD2C/items/3DYHU9SD"],"uri":["http://zotero.org/users/local/6qJKLD2C/items/3DYHU9SD"],"itemData":{"id":1888,"type":"article-journal","abstract":"Understanding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w:instrText>
      </w:r>
      <w:r>
        <w:rPr>
          <w:rFonts w:ascii="Cambria Math" w:hAnsi="Cambria Math" w:cs="Cambria Math"/>
        </w:rPr>
        <w:instrText>‐</w:instrText>
      </w:r>
      <w:r>
        <w:instrText>energetic modeling of medium</w:instrText>
      </w:r>
      <w:r>
        <w:rPr>
          <w:rFonts w:ascii="Cambria Math" w:hAnsi="Cambria Math" w:cs="Cambria Math"/>
        </w:rPr>
        <w:instrText>‐</w:instrText>
      </w:r>
      <w:r>
        <w:instrText xml:space="preserve">sized cetaceans shows high sensitivity to disturbance in seasons of low resource supply","URL":"https://onlinelibrary.wiley.com/doi/abs/10.1002/eap.1903","volume":"29","author":[{"family":"Hin","given":"Vincent"},{"family":"Harwood","given":"John"},{"family":"De Roos","given":"André M."}],"accessed":{"date-parts":[["2020",5,6]]},"issued":{"date-parts":[["2019",7]]}}}],"schema":"https://github.com/citation-style-language/schema/raw/master/csl-citation.json"} </w:instrText>
      </w:r>
      <w:r>
        <w:fldChar w:fldCharType="separate"/>
      </w:r>
      <w:r>
        <w:rPr>
          <w:noProof/>
        </w:rPr>
        <w:t>Hin et al., (2019)</w:t>
      </w:r>
      <w:r>
        <w:fldChar w:fldCharType="end"/>
      </w:r>
      <w:r>
        <w:t xml:space="preserve"> argued that the catabolic conversion efficiency resembled the energy density of lipids (reported as 40 MJ kg</w:t>
      </w:r>
      <w:r w:rsidRPr="00853169">
        <w:rPr>
          <w:vertAlign w:val="superscript"/>
        </w:rPr>
        <w:t>-1</w:t>
      </w:r>
      <w:r>
        <w:t xml:space="preserve"> by </w:t>
      </w:r>
      <w:r>
        <w:fldChar w:fldCharType="begin"/>
      </w:r>
      <w:r>
        <w:instrText xml:space="preserve"> ADDIN ZOTERO_ITEM CSL_CITATION {"citationID":"6scQIgzl","properties":{"formattedCitation":"(Lockyer, 1993)","plainCitation":"(Lockyer, 1993)","dontUpdate":true,"noteIndex":0},"citationItems":[{"id":1925,"uris":["http://zotero.org/users/local/6qJKLD2C/items/FD87U8UK"],"uri":["http://zotero.org/users/local/6qJKLD2C/items/FD87U8UK"],"itemData":{"id":1925,"type":"article-journal","abstract":"The carcase composition of long-finned pilot whales, Globicephala melas, taken in the Faroese drive fishery between July 1986 and June 1988 was routinely examined. Body weights were obtained for 232 foetuses and 622 whales of both sexes from calf to adult bull size, at all times of year throughout the 2-year period. In addition, length, girth and blubber thickness measurements were collected for 693 whales. Samples of blubber, muscle, visceral organs and fats were analysed for biochemical composition. An increase in body fat content during the winter months from November onwards was found. This was observed as an increase in wet weight lipid content from ca 1% to &gt;45% in head and tail muscle, and possibly from 50% to &gt;70% in visceral fat. Actual weight of fat deposits around visceral organs such as intestinal mesenteries and kidneys (which comprised &gt;40% organ weight during January) also increased. These relative and absolute increases in fat deposits were observed in all whales regardless of sex and reproductive status. The lipid content of blubber varied between ca 70-85% wet weight of blubber with the lowest level in summer and highest in mid-winter. Morphometric data indicated that blubber thickness increased in the winter, thus increasing overall body fat reserves. The relationship between body weight (W in kg) and length (L in cm) can be described by the formula W=0.00006L2 677 for foetuses &gt;45 cm total length, and by W=0.00026L2 484 for maies and W=0.00020L2 521 for females. For both sexes, incorporation of a mid-girth measurement increased the logarithmic weight/length correlation r2 value from 0.951 to 0.964 in males and from 0.927 to 0.935 in females. Using three girth measurements (posterior to flipper insertion, and anterior and posterior to the dorsal fin) and logarithmic weight/length/girth correlation was 0.967 in males and 0.939 in females. Muscle constituted about 26% body weight (increasing from 22.5% to 30.5% with maturity and size), and blubber about 25% body weight (24% in adults and 26% in juveniles). During winter, the absolute lipid increase within the muscle comprised up to about 11.5% body weight, compared with summer. In winter, fat around the viscera comprised about 1.5% body weight, and the blubber weight increases totalled 5-10% body weight. Overall, the winter lipid accumulations constitute 14-23% body weight. Such an energy reserve amounts to about 170-210kg or 1.34-2.16X106 kcal in a 1 tonne whale (e.g. a fully adult female). Virtual depletion of these energy reserves by summer implies that decreased prey availability may coincide with increased demand for energy to devote to reproduction during the period winter to summer. There is no evidence that the energy demands of reproduction on females require any special storage strategy, different from that of adult males and juveniles.","container-title":"Report of the International Whaling Commission, Special Issue 14","journalAbbreviation":"Rep Int Whal Commn (Special Issue 14)","language":"en","page":"325–350","source":"Zotero","title":"Seasonal changes in body fat condition of Northeast Atlantic pilot whales, and their biological significance","author":[{"family":"Lockyer","given":"Christina"}],"issued":{"date-parts":[["1993"]]}}}],"schema":"https://github.com/citation-style-language/schema/raw/master/csl-citation.json"} </w:instrText>
      </w:r>
      <w:r>
        <w:fldChar w:fldCharType="separate"/>
      </w:r>
      <w:r>
        <w:rPr>
          <w:noProof/>
        </w:rPr>
        <w:t>Lockyer (1993)</w:t>
      </w:r>
      <w:r>
        <w:fldChar w:fldCharType="end"/>
      </w:r>
      <w:r>
        <w:t xml:space="preserve">) and assumed a roughly 90% efficiency of catabolic conversion. This led to the value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m:t>
            </m:r>
          </m:sub>
        </m:sSub>
        <m:r>
          <w:rPr>
            <w:rFonts w:ascii="Cambria Math" w:hAnsi="Cambria Math"/>
          </w:rPr>
          <m:t>=35</m:t>
        </m:r>
      </m:oMath>
      <w:r>
        <w:t xml:space="preserve">. </w:t>
      </w:r>
      <w:r>
        <w:fldChar w:fldCharType="begin"/>
      </w:r>
      <w:r>
        <w:instrText xml:space="preserve"> ADDIN ZOTERO_ITEM CSL_CITATION {"citationID":"4fqwML6T","properties":{"formattedCitation":"(Hin et al., 2019)","plainCitation":"(Hin et al., 2019)","dontUpdate":true,"noteIndex":0},"citationItems":[{"id":1888,"uris":["http://zotero.org/users/local/6qJKLD2C/items/3DYHU9SD"],"uri":["http://zotero.org/users/local/6qJKLD2C/items/3DYHU9SD"],"itemData":{"id":1888,"type":"article-journal","abstract":"Understanding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w:instrText>
      </w:r>
      <w:r>
        <w:rPr>
          <w:rFonts w:ascii="Cambria Math" w:hAnsi="Cambria Math" w:cs="Cambria Math"/>
        </w:rPr>
        <w:instrText>‐</w:instrText>
      </w:r>
      <w:r>
        <w:instrText>energetic modeling of medium</w:instrText>
      </w:r>
      <w:r>
        <w:rPr>
          <w:rFonts w:ascii="Cambria Math" w:hAnsi="Cambria Math" w:cs="Cambria Math"/>
        </w:rPr>
        <w:instrText>‐</w:instrText>
      </w:r>
      <w:r>
        <w:instrText xml:space="preserve">sized cetaceans shows high sensitivity to disturbance in seasons of low resource supply","URL":"https://onlinelibrary.wiley.com/doi/abs/10.1002/eap.1903","volume":"29","author":[{"family":"Hin","given":"Vincent"},{"family":"Harwood","given":"John"},{"family":"De Roos","given":"André M."}],"accessed":{"date-parts":[["2020",5,6]]},"issued":{"date-parts":[["2019",7]]}}}],"schema":"https://github.com/citation-style-language/schema/raw/master/csl-citation.json"} </w:instrText>
      </w:r>
      <w:r>
        <w:fldChar w:fldCharType="separate"/>
      </w:r>
      <w:r>
        <w:rPr>
          <w:noProof/>
        </w:rPr>
        <w:t>Hin et al. (2019)</w:t>
      </w:r>
      <w:r>
        <w:fldChar w:fldCharType="end"/>
      </w:r>
      <w:r>
        <w:t xml:space="preserve"> considered anabolic conversion less efficient and set </w:t>
      </w:r>
      <m:oMath>
        <m:sSub>
          <m:sSubPr>
            <m:ctrlPr>
              <w:rPr>
                <w:rFonts w:ascii="Cambria Math" w:hAnsi="Cambria Math"/>
              </w:rPr>
            </m:ctrlPr>
          </m:sSubPr>
          <m:e>
            <m:r>
              <m:rPr>
                <m:sty m:val="p"/>
              </m:rPr>
              <w:rPr>
                <w:rFonts w:ascii="Cambria Math" w:hAnsi="Cambria Math"/>
              </w:rPr>
              <m:t>ε</m:t>
            </m:r>
          </m:e>
          <m:sub>
            <m:r>
              <w:rPr>
                <w:rFonts w:ascii="Cambria Math" w:hAnsi="Cambria Math"/>
              </w:rPr>
              <m:t>+</m:t>
            </m:r>
          </m:sub>
        </m:sSub>
        <m:r>
          <w:rPr>
            <w:rFonts w:ascii="Cambria Math" w:hAnsi="Cambria Math"/>
          </w:rPr>
          <m:t>=55</m:t>
        </m:r>
      </m:oMath>
      <w:r>
        <w:t xml:space="preserve">. However, lipids in the blubber of </w:t>
      </w:r>
      <w:r w:rsidRPr="00732EE5">
        <w:rPr>
          <w:i/>
          <w:iCs/>
        </w:rPr>
        <w:t>Gm</w:t>
      </w:r>
      <w:r>
        <w:t xml:space="preserve"> are mostly (&gt;90%) triacylglycerols, while blubber lipids of beaked whales are dominated by wax esters </w:t>
      </w:r>
      <w:r>
        <w:fldChar w:fldCharType="begin"/>
      </w:r>
      <w:r>
        <w:instrText xml:space="preserve"> ADDIN ZOTERO_ITEM CSL_CITATION {"citationID":"3ZQm9uOu","properties":{"unsorted":true,"formattedCitation":"(70-100%; Koopman, 2007, 2018)","plainCitation":"(70-100%; Koopman, 2007, 2018)","noteIndex":0},"citationItems":[{"id":1817,"uris":["http://zotero.org/users/local/6qJKLD2C/items/KZ8CYQHV"],"uri":["http://zotero.org/users/local/6qJKLD2C/items/KZ8CYQHV"],"itemData":{"id":1817,"type":"article-journal","container-title":"Marine Biology","DOI":"10.1007/s00227-006-0489-8","ISSN":"0025-3162, 1432-1793","issue":"1","journalAbbreviation":"Mar Biol","language":"en","page":"277-291","source":"DOI.org (Crossref)","title":"Phylogenetic, ecological, and ontogenetic factors influencing the biochemical structure of the blubber of odontocetes","volume":"151","author":[{"family":"Koopman","given":"Heather N."}],"issued":{"date-parts":[["2007",3]]}},"prefix":"70-100%; "},{"id":1716,"uris":["http://zotero.org/users/local/6qJKLD2C/items/VFHUSTFF"],"uri":["http://zotero.org/users/local/6qJKLD2C/items/VFHUSTFF"],"itemData":{"id":1716,"type":"article-journal","abstract":"The Odontocetes (toothed whales) possess two types of specialized fat and, therefore, represent an interesting group when considering the evolution and function of adipose tissue. All whales have a layer of superficial blubber, which insulates and streamlines, provides buoyancy and acts as an energy reserve. Some toothed whales deposit large amounts of wax esters, rather than triacylglycerols, in blubber, which is unusual. Waxes have very different physical and physiological properties, which may impact blubber function. The cranial acoustic fat depots serve to focus sound during echolocation and hearing. The acoustic fats have unique morphologies; however, they are even more specialized biochemically because they are composed of a mix of endogenous waxes and triacylglycerols with unusual branched elements (derived from amino acids) that are not present in other mammals. Both waxes and branched elements alter how sound travels through a fat body; they are arranged in a 3D topographical pattern to focus sound. Furthermore, the specific branched-chain acid/alcohol synthesis mechanisms and products vary phylogenetically (e.g. dolphins synthesize lipids from leucine whereas beaked whales use valine). I propose that these specialized lipids evolved first in the head: wax synthesis first emerged to serve an acoustic function in toothed whales, with branched-chain synthesis adding additional acoustic focusing power, and some species secondarily retained wax synthesis pathways for blubber. Further research is necessary to elucidate specific molecular mechanisms controlling the synthesis and deposition of wax esters and branched-chain fatty acids, as well as their spatial deposition within tissues and within adipocytes.","container-title":"The Journal of Experimental Biology","DOI":"10.1242/jeb.161471","ISSN":"0022-0949, 1477-9145","issue":"Suppl 1","journalAbbreviation":"J Exp Biol","language":"en","page":"jeb161471","source":"DOI.org (Crossref)","title":"Function and evolution of specialized endogenous lipids in toothed whales","volume":"221","author":[{"family":"Koopman","given":"Heather N."}],"issued":{"date-parts":[["2018",3,7]]}}}],"schema":"https://github.com/citation-style-language/schema/raw/master/csl-citation.json"} </w:instrText>
      </w:r>
      <w:r>
        <w:fldChar w:fldCharType="separate"/>
      </w:r>
      <w:r>
        <w:rPr>
          <w:noProof/>
        </w:rPr>
        <w:t>(70-100%; Koopman, 2007, 2018)</w:t>
      </w:r>
      <w:r>
        <w:fldChar w:fldCharType="end"/>
      </w:r>
      <w:r>
        <w:t xml:space="preserve">. Although wax-rich blubber has a higher energy density than blubber consisting of triacylglycerols, it is currently unknown whether wax esters in the blubber of beaked whales (and other odontocetes) are used as an energy source during periods of energy deficiency </w:t>
      </w:r>
      <w:r>
        <w:fldChar w:fldCharType="begin"/>
      </w:r>
      <w:r>
        <w:instrText xml:space="preserve"> ADDIN ZOTERO_ITEM CSL_CITATION {"citationID":"3rM5WioQ","properties":{"formattedCitation":"(Koopman, 2018)","plainCitation":"(Koopman, 2018)","noteIndex":0},"citationItems":[{"id":1716,"uris":["http://zotero.org/users/local/6qJKLD2C/items/VFHUSTFF"],"uri":["http://zotero.org/users/local/6qJKLD2C/items/VFHUSTFF"],"itemData":{"id":1716,"type":"article-journal","abstract":"The Odontocetes (toothed whales) possess two types of specialized fat and, therefore, represent an interesting group when considering the evolution and function of adipose tissue. All whales have a layer of superficial blubber, which insulates and streamlines, provides buoyancy and acts as an energy reserve. Some toothed whales deposit large amounts of wax esters, rather than triacylglycerols, in blubber, which is unusual. Waxes have very different physical and physiological properties, which may impact blubber function. The cranial acoustic fat depots serve to focus sound during echolocation and hearing. The acoustic fats have unique morphologies; however, they are even more specialized biochemically because they are composed of a mix of endogenous waxes and triacylglycerols with unusual branched elements (derived from amino acids) that are not present in other mammals. Both waxes and branched elements alter how sound travels through a fat body; they are arranged in a 3D topographical pattern to focus sound. Furthermore, the specific branched-chain acid/alcohol synthesis mechanisms and products vary phylogenetically (e.g. dolphins synthesize lipids from leucine whereas beaked whales use valine). I propose that these specialized lipids evolved first in the head: wax synthesis first emerged to serve an acoustic function in toothed whales, with branched-chain synthesis adding additional acoustic focusing power, and some species secondarily retained wax synthesis pathways for blubber. Further research is necessary to elucidate specific molecular mechanisms controlling the synthesis and deposition of wax esters and branched-chain fatty acids, as well as their spatial deposition within tissues and within adipocytes.","container-title":"The Journal of Experimental Biology","DOI":"10.1242/jeb.161471","ISSN":"0022-0949, 1477-9145","issue":"Suppl 1","journalAbbreviation":"J Exp Biol","language":"en","page":"jeb161471","source":"DOI.org (Crossref)","title":"Function and evolution of specialized endogenous lipids in toothed whales","volume":"221","author":[{"family":"Koopman","given":"Heather N."}],"issued":{"date-parts":[["2018",3,7]]}}}],"schema":"https://github.com/citation-style-language/schema/raw/master/csl-citation.json"} </w:instrText>
      </w:r>
      <w:r>
        <w:fldChar w:fldCharType="separate"/>
      </w:r>
      <w:r>
        <w:rPr>
          <w:noProof/>
        </w:rPr>
        <w:t>(Koopman, 2018)</w:t>
      </w:r>
      <w:r>
        <w:fldChar w:fldCharType="end"/>
      </w:r>
      <w:r>
        <w:t>. Moreover, the blubber of beaked whales displays low density of microvasculature, suggesting that blubber</w:t>
      </w:r>
      <w:r w:rsidR="0083084D">
        <w:t xml:space="preserve"> </w:t>
      </w:r>
      <w:r w:rsidR="0083084D">
        <w:t xml:space="preserve">of beaked whales is relatively inert and mainly serves other functions than that of an energy store </w:t>
      </w:r>
      <w:r w:rsidR="0083084D">
        <w:fldChar w:fldCharType="begin"/>
      </w:r>
      <w:r w:rsidR="0083084D">
        <w:instrText xml:space="preserve"> ADDIN ZOTERO_ITEM CSL_CITATION {"citationID":"MXFXFZQO","properties":{"formattedCitation":"(Pabst et al., 2016)","plainCitation":"(Pabst et al., 2016)","noteIndex":0},"citationItems":[{"id":1664,"uris":["http://zotero.org/users/local/6qJKLD2C/items/RAHP5PZI"],"uri":["http://zotero.org/users/local/6qJKLD2C/items/RAHP5PZI"],"itemData":{"id":1664,"type":"article-journal","container-title":"Integrative and Comparative Biology","DOI":"10.1093/icb/icw126","ISSN":"1540-7063, 1557-7023","issue":"6","journalAbbreviation":"Integr. Comp. Biol.","language":"en","page":"1337-1348","source":"DOI.org (Crossref)","title":"How to Build a Deep Diver: The Extreme Morphology of Mesoplodonts","title-short":"How to Build a Deep Diver","volume":"56","author":[{"family":"Pabst","given":"D. Ann"},{"family":"McLellan","given":"William A."},{"family":"Rommel","given":"Sentiel A."}],"issued":{"date-parts":[["2016",12]]}}}],"schema":"https://github.com/citation-style-language/schema/raw/master/csl-citation.json"} </w:instrText>
      </w:r>
      <w:r w:rsidR="0083084D">
        <w:fldChar w:fldCharType="separate"/>
      </w:r>
      <w:r w:rsidR="0083084D">
        <w:rPr>
          <w:noProof/>
        </w:rPr>
        <w:t>(Pabst et al., 2016)</w:t>
      </w:r>
      <w:r w:rsidR="0083084D">
        <w:fldChar w:fldCharType="end"/>
      </w:r>
      <w:r w:rsidR="0083084D">
        <w:t xml:space="preserve">. If indeed beaked blubber plays a marginal role as energy store, beaked whales must mobilize other types of lipids or different biochemical compounds (such as proteins) to overcome periods of energy deficiency. To account for the possibility that beaked </w:t>
      </w:r>
      <w:r w:rsidR="0083084D">
        <w:lastRenderedPageBreak/>
        <w:t xml:space="preserve">whales have a lower potential to store energy, we take a precautionary approach and considerably decrease the values of the </w:t>
      </w:r>
      <w:r w:rsidR="0083084D">
        <w:rPr>
          <w:rFonts w:eastAsiaTheme="minorEastAsia"/>
        </w:rPr>
        <w:t xml:space="preserve">anabolic and catabolic conversion efficiency parameters compared to </w:t>
      </w:r>
      <w:proofErr w:type="gramStart"/>
      <w:r w:rsidR="0083084D">
        <w:rPr>
          <w:rFonts w:eastAsiaTheme="minorEastAsia"/>
          <w:i/>
          <w:iCs/>
        </w:rPr>
        <w:t>Gm,</w:t>
      </w:r>
      <w:r w:rsidR="0083084D">
        <w:rPr>
          <w:rFonts w:eastAsiaTheme="minorEastAsia"/>
        </w:rPr>
        <w:t xml:space="preserve"> and</w:t>
      </w:r>
      <w:proofErr w:type="gramEnd"/>
      <w:r w:rsidR="0083084D">
        <w:rPr>
          <w:rFonts w:eastAsiaTheme="minorEastAsia"/>
        </w:rPr>
        <w:t xml:space="preserve"> adopt </w:t>
      </w:r>
      <m:oMath>
        <m:sSub>
          <m:sSubPr>
            <m:ctrlPr>
              <w:rPr>
                <w:rFonts w:ascii="Cambria Math" w:hAnsi="Cambria Math"/>
                <w:i/>
              </w:rPr>
            </m:ctrlPr>
          </m:sSubPr>
          <m:e>
            <m:r>
              <w:rPr>
                <w:rFonts w:ascii="Cambria Math" w:hAnsi="Cambria Math"/>
              </w:rPr>
              <m:t>ε</m:t>
            </m:r>
          </m:e>
          <m:sub>
            <m:r>
              <w:rPr>
                <w:rFonts w:ascii="Cambria Math" w:hAnsi="Cambria Math"/>
              </w:rPr>
              <m:t>-</m:t>
            </m:r>
          </m:sub>
        </m:sSub>
        <m:r>
          <w:rPr>
            <w:rFonts w:ascii="Cambria Math" w:eastAsiaTheme="minorEastAsia" w:hAnsi="Cambria Math"/>
          </w:rPr>
          <m:t>=20</m:t>
        </m:r>
      </m:oMath>
      <w:r w:rsidR="0083084D">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m:t>
            </m:r>
          </m:sub>
        </m:sSub>
        <m:r>
          <w:rPr>
            <w:rFonts w:ascii="Cambria Math" w:hAnsi="Cambria Math"/>
          </w:rPr>
          <m:t>=35</m:t>
        </m:r>
      </m:oMath>
      <w:r w:rsidR="0083084D">
        <w:rPr>
          <w:rFonts w:eastAsiaTheme="minorEastAsia"/>
        </w:rPr>
        <w:t xml:space="preserve"> by default.</w:t>
      </w:r>
    </w:p>
    <w:p w14:paraId="7F29B01B" w14:textId="10A37F5C" w:rsidR="00247330" w:rsidRDefault="00247330" w:rsidP="00247330">
      <w:pPr>
        <w:pStyle w:val="NoSpacing"/>
        <w:jc w:val="left"/>
      </w:pPr>
      <w:r w:rsidRPr="00247330">
        <w:rPr>
          <w:b/>
          <w:bCs/>
        </w:rPr>
        <w:t>Table S</w:t>
      </w:r>
      <w:r w:rsidRPr="00247330">
        <w:rPr>
          <w:b/>
          <w:bCs/>
        </w:rPr>
        <w:fldChar w:fldCharType="begin"/>
      </w:r>
      <w:r w:rsidRPr="00247330">
        <w:rPr>
          <w:b/>
          <w:bCs/>
        </w:rPr>
        <w:instrText xml:space="preserve"> SEQ Table_S \* ARABIC </w:instrText>
      </w:r>
      <w:r w:rsidRPr="00247330">
        <w:rPr>
          <w:b/>
          <w:bCs/>
        </w:rPr>
        <w:fldChar w:fldCharType="separate"/>
      </w:r>
      <w:r w:rsidR="00F07D93">
        <w:rPr>
          <w:b/>
          <w:bCs/>
          <w:noProof/>
        </w:rPr>
        <w:t>3</w:t>
      </w:r>
      <w:r w:rsidRPr="00247330">
        <w:rPr>
          <w:b/>
          <w:bCs/>
        </w:rPr>
        <w:fldChar w:fldCharType="end"/>
      </w:r>
      <w:r>
        <w:t xml:space="preserve">: </w:t>
      </w:r>
      <w:r w:rsidRPr="00952251">
        <w:t>Model parameters</w:t>
      </w:r>
    </w:p>
    <w:tbl>
      <w:tblPr>
        <w:tblStyle w:val="PlainTable21"/>
        <w:tblW w:w="0" w:type="auto"/>
        <w:tblBorders>
          <w:top w:val="single" w:sz="8" w:space="0" w:color="auto"/>
          <w:bottom w:val="single" w:sz="8" w:space="0" w:color="auto"/>
        </w:tblBorders>
        <w:tblLayout w:type="fixed"/>
        <w:tblCellMar>
          <w:top w:w="57" w:type="dxa"/>
          <w:left w:w="85" w:type="dxa"/>
          <w:bottom w:w="57" w:type="dxa"/>
          <w:right w:w="57" w:type="dxa"/>
        </w:tblCellMar>
        <w:tblLook w:val="04A0" w:firstRow="1" w:lastRow="0" w:firstColumn="1" w:lastColumn="0" w:noHBand="0" w:noVBand="1"/>
      </w:tblPr>
      <w:tblGrid>
        <w:gridCol w:w="993"/>
        <w:gridCol w:w="1559"/>
        <w:gridCol w:w="3402"/>
        <w:gridCol w:w="992"/>
        <w:gridCol w:w="992"/>
        <w:gridCol w:w="1422"/>
      </w:tblGrid>
      <w:tr w:rsidR="007747B2" w:rsidRPr="00BF0082" w14:paraId="07B0B777" w14:textId="4AD251FD" w:rsidTr="0082745D">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single" w:sz="8" w:space="0" w:color="000000"/>
              <w:bottom w:val="single" w:sz="8" w:space="0" w:color="000000"/>
            </w:tcBorders>
            <w:vAlign w:val="center"/>
          </w:tcPr>
          <w:p w14:paraId="1A42A9C8" w14:textId="77777777" w:rsidR="005C3BF6" w:rsidRPr="00BF0082" w:rsidRDefault="005C3BF6" w:rsidP="0082745D">
            <w:pPr>
              <w:pStyle w:val="NoSpacing"/>
              <w:jc w:val="left"/>
              <w:rPr>
                <w:noProof/>
                <w:lang w:val="en-GB"/>
              </w:rPr>
            </w:pPr>
            <w:r w:rsidRPr="00BF0082">
              <w:rPr>
                <w:noProof/>
                <w:lang w:val="en-GB"/>
              </w:rPr>
              <w:br w:type="column"/>
              <w:t>Symbol</w:t>
            </w:r>
          </w:p>
        </w:tc>
        <w:tc>
          <w:tcPr>
            <w:tcW w:w="1559" w:type="dxa"/>
            <w:tcBorders>
              <w:top w:val="single" w:sz="8" w:space="0" w:color="000000"/>
              <w:bottom w:val="single" w:sz="8" w:space="0" w:color="000000"/>
            </w:tcBorders>
            <w:shd w:val="clear" w:color="auto" w:fill="auto"/>
            <w:noWrap/>
            <w:vAlign w:val="center"/>
          </w:tcPr>
          <w:p w14:paraId="0A78212C" w14:textId="77777777" w:rsidR="005C3BF6" w:rsidRPr="00BF0082" w:rsidRDefault="005C3BF6" w:rsidP="0082745D">
            <w:pPr>
              <w:pStyle w:val="NoSpacing"/>
              <w:jc w:val="left"/>
              <w:cnfStyle w:val="100000000000" w:firstRow="1" w:lastRow="0" w:firstColumn="0" w:lastColumn="0" w:oddVBand="0" w:evenVBand="0" w:oddHBand="0" w:evenHBand="0" w:firstRowFirstColumn="0" w:firstRowLastColumn="0" w:lastRowFirstColumn="0" w:lastRowLastColumn="0"/>
              <w:rPr>
                <w:noProof/>
                <w:lang w:val="en-GB"/>
              </w:rPr>
            </w:pPr>
            <w:r w:rsidRPr="00BF0082">
              <w:rPr>
                <w:noProof/>
                <w:lang w:val="en-GB"/>
              </w:rPr>
              <w:t>Unit</w:t>
            </w:r>
          </w:p>
        </w:tc>
        <w:tc>
          <w:tcPr>
            <w:tcW w:w="3402" w:type="dxa"/>
            <w:tcBorders>
              <w:top w:val="single" w:sz="8" w:space="0" w:color="000000"/>
              <w:bottom w:val="single" w:sz="8" w:space="0" w:color="000000"/>
            </w:tcBorders>
            <w:shd w:val="clear" w:color="auto" w:fill="auto"/>
            <w:noWrap/>
            <w:vAlign w:val="center"/>
          </w:tcPr>
          <w:p w14:paraId="3D9D3B59" w14:textId="77777777" w:rsidR="005C3BF6" w:rsidRPr="00BF0082" w:rsidRDefault="005C3BF6" w:rsidP="0082745D">
            <w:pPr>
              <w:pStyle w:val="NoSpacing"/>
              <w:jc w:val="left"/>
              <w:cnfStyle w:val="100000000000" w:firstRow="1" w:lastRow="0" w:firstColumn="0" w:lastColumn="0" w:oddVBand="0" w:evenVBand="0" w:oddHBand="0" w:evenHBand="0" w:firstRowFirstColumn="0" w:firstRowLastColumn="0" w:lastRowFirstColumn="0" w:lastRowLastColumn="0"/>
              <w:rPr>
                <w:noProof/>
                <w:lang w:val="en-GB"/>
              </w:rPr>
            </w:pPr>
            <w:r w:rsidRPr="00BF0082">
              <w:rPr>
                <w:noProof/>
                <w:lang w:val="en-GB"/>
              </w:rPr>
              <w:t>Description</w:t>
            </w:r>
          </w:p>
        </w:tc>
        <w:tc>
          <w:tcPr>
            <w:tcW w:w="992" w:type="dxa"/>
            <w:tcBorders>
              <w:top w:val="single" w:sz="8" w:space="0" w:color="000000"/>
              <w:bottom w:val="single" w:sz="8" w:space="0" w:color="000000"/>
            </w:tcBorders>
            <w:vAlign w:val="center"/>
          </w:tcPr>
          <w:p w14:paraId="50B92CA8" w14:textId="77777777" w:rsidR="005C3BF6" w:rsidRPr="007D47FA" w:rsidRDefault="005C3BF6" w:rsidP="0082745D">
            <w:pPr>
              <w:pStyle w:val="NoSpacing"/>
              <w:jc w:val="left"/>
              <w:cnfStyle w:val="100000000000" w:firstRow="1" w:lastRow="0" w:firstColumn="0" w:lastColumn="0" w:oddVBand="0" w:evenVBand="0" w:oddHBand="0" w:evenHBand="0" w:firstRowFirstColumn="0" w:firstRowLastColumn="0" w:lastRowFirstColumn="0" w:lastRowLastColumn="0"/>
              <w:rPr>
                <w:i/>
                <w:iCs/>
                <w:noProof/>
                <w:lang w:val="en-GB"/>
              </w:rPr>
            </w:pPr>
            <w:r w:rsidRPr="007D47FA">
              <w:rPr>
                <w:i/>
                <w:iCs/>
                <w:noProof/>
                <w:lang w:val="en-GB"/>
              </w:rPr>
              <w:t>Md</w:t>
            </w:r>
          </w:p>
        </w:tc>
        <w:tc>
          <w:tcPr>
            <w:tcW w:w="992" w:type="dxa"/>
            <w:tcBorders>
              <w:top w:val="single" w:sz="8" w:space="0" w:color="000000"/>
              <w:bottom w:val="single" w:sz="8" w:space="0" w:color="000000"/>
            </w:tcBorders>
            <w:vAlign w:val="center"/>
          </w:tcPr>
          <w:p w14:paraId="6AF3026B" w14:textId="77777777" w:rsidR="005C3BF6" w:rsidRPr="007D47FA" w:rsidRDefault="005C3BF6" w:rsidP="0082745D">
            <w:pPr>
              <w:pStyle w:val="NoSpacing"/>
              <w:jc w:val="left"/>
              <w:cnfStyle w:val="100000000000" w:firstRow="1" w:lastRow="0" w:firstColumn="0" w:lastColumn="0" w:oddVBand="0" w:evenVBand="0" w:oddHBand="0" w:evenHBand="0" w:firstRowFirstColumn="0" w:firstRowLastColumn="0" w:lastRowFirstColumn="0" w:lastRowLastColumn="0"/>
              <w:rPr>
                <w:i/>
                <w:iCs/>
                <w:noProof/>
                <w:lang w:val="en-GB"/>
              </w:rPr>
            </w:pPr>
            <w:r w:rsidRPr="007D47FA">
              <w:rPr>
                <w:i/>
                <w:iCs/>
                <w:noProof/>
                <w:lang w:val="en-GB"/>
              </w:rPr>
              <w:t>Zc</w:t>
            </w:r>
          </w:p>
        </w:tc>
        <w:tc>
          <w:tcPr>
            <w:tcW w:w="1422" w:type="dxa"/>
            <w:tcBorders>
              <w:top w:val="single" w:sz="8" w:space="0" w:color="000000"/>
              <w:bottom w:val="single" w:sz="8" w:space="0" w:color="000000"/>
            </w:tcBorders>
            <w:vAlign w:val="center"/>
          </w:tcPr>
          <w:p w14:paraId="01A02E0E" w14:textId="53ECAFF6" w:rsidR="005C3BF6" w:rsidRPr="00BF0082" w:rsidRDefault="005C3BF6" w:rsidP="0082745D">
            <w:pPr>
              <w:pStyle w:val="NoSpacing"/>
              <w:jc w:val="left"/>
              <w:cnfStyle w:val="100000000000" w:firstRow="1" w:lastRow="0" w:firstColumn="0" w:lastColumn="0" w:oddVBand="0" w:evenVBand="0" w:oddHBand="0" w:evenHBand="0" w:firstRowFirstColumn="0" w:firstRowLastColumn="0" w:lastRowFirstColumn="0" w:lastRowLastColumn="0"/>
              <w:rPr>
                <w:noProof/>
                <w:lang w:val="en-GB"/>
              </w:rPr>
            </w:pPr>
            <w:r w:rsidRPr="00BF0082">
              <w:rPr>
                <w:noProof/>
                <w:lang w:val="en-GB"/>
              </w:rPr>
              <w:t>Source</w:t>
            </w:r>
          </w:p>
        </w:tc>
      </w:tr>
      <w:tr w:rsidR="007747B2" w:rsidRPr="00BF0082" w14:paraId="29A557E3" w14:textId="79138C13" w:rsidTr="0082745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single" w:sz="8" w:space="0" w:color="000000"/>
              <w:bottom w:val="nil"/>
            </w:tcBorders>
            <w:vAlign w:val="center"/>
          </w:tcPr>
          <w:p w14:paraId="217AF59F" w14:textId="1834CFF1"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T</m:t>
                    </m:r>
                  </m:e>
                  <m:sub>
                    <m:r>
                      <m:rPr>
                        <m:sty m:val="bi"/>
                      </m:rPr>
                      <w:rPr>
                        <w:rFonts w:ascii="Cambria Math" w:hAnsi="Cambria Math"/>
                        <w:noProof/>
                        <w:lang w:val="en-GB"/>
                      </w:rPr>
                      <m:t>P</m:t>
                    </m:r>
                  </m:sub>
                </m:sSub>
              </m:oMath>
            </m:oMathPara>
          </w:p>
        </w:tc>
        <w:tc>
          <w:tcPr>
            <w:tcW w:w="1559" w:type="dxa"/>
            <w:tcBorders>
              <w:top w:val="single" w:sz="8" w:space="0" w:color="000000"/>
              <w:bottom w:val="nil"/>
            </w:tcBorders>
            <w:shd w:val="clear" w:color="auto" w:fill="auto"/>
            <w:noWrap/>
            <w:vAlign w:val="center"/>
            <w:hideMark/>
          </w:tcPr>
          <w:p w14:paraId="052DA0BE" w14:textId="77777777" w:rsidR="005C3BF6" w:rsidRPr="00BF0082" w:rsidRDefault="005C3BF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r>
                  <m:rPr>
                    <m:nor/>
                  </m:rPr>
                  <w:rPr>
                    <w:noProof/>
                    <w:lang w:val="en-GB"/>
                  </w:rPr>
                  <m:t>day</m:t>
                </m:r>
              </m:oMath>
            </m:oMathPara>
          </w:p>
        </w:tc>
        <w:tc>
          <w:tcPr>
            <w:tcW w:w="3402" w:type="dxa"/>
            <w:tcBorders>
              <w:top w:val="single" w:sz="8" w:space="0" w:color="000000"/>
              <w:bottom w:val="nil"/>
            </w:tcBorders>
            <w:shd w:val="clear" w:color="auto" w:fill="auto"/>
            <w:noWrap/>
            <w:vAlign w:val="center"/>
            <w:hideMark/>
          </w:tcPr>
          <w:p w14:paraId="427C538B"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Gestation period </w:t>
            </w:r>
          </w:p>
        </w:tc>
        <w:tc>
          <w:tcPr>
            <w:tcW w:w="992" w:type="dxa"/>
            <w:tcBorders>
              <w:top w:val="single" w:sz="8" w:space="0" w:color="000000"/>
              <w:bottom w:val="nil"/>
            </w:tcBorders>
            <w:vAlign w:val="center"/>
          </w:tcPr>
          <w:p w14:paraId="5F41FF18"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365</w:t>
            </w:r>
          </w:p>
        </w:tc>
        <w:tc>
          <w:tcPr>
            <w:tcW w:w="992" w:type="dxa"/>
            <w:tcBorders>
              <w:top w:val="single" w:sz="8" w:space="0" w:color="000000"/>
              <w:bottom w:val="nil"/>
            </w:tcBorders>
            <w:vAlign w:val="center"/>
          </w:tcPr>
          <w:p w14:paraId="01E42D2A"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365</w:t>
            </w:r>
          </w:p>
        </w:tc>
        <w:tc>
          <w:tcPr>
            <w:tcW w:w="1422" w:type="dxa"/>
            <w:tcBorders>
              <w:top w:val="single" w:sz="8" w:space="0" w:color="000000"/>
              <w:bottom w:val="nil"/>
            </w:tcBorders>
            <w:vAlign w:val="center"/>
          </w:tcPr>
          <w:p w14:paraId="7DF1AF8F" w14:textId="6852C1A1" w:rsidR="005C3BF6" w:rsidRPr="00BF0082" w:rsidRDefault="004D517D"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1</w:t>
            </w:r>
          </w:p>
        </w:tc>
      </w:tr>
      <w:tr w:rsidR="007747B2" w:rsidRPr="00BF0082" w14:paraId="2D54F9F4" w14:textId="3BE8F3AA" w:rsidTr="0082745D">
        <w:trPr>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472958B6" w14:textId="03E617F2"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T</m:t>
                    </m:r>
                  </m:e>
                  <m:sub>
                    <m:r>
                      <m:rPr>
                        <m:sty m:val="bi"/>
                      </m:rPr>
                      <w:rPr>
                        <w:rFonts w:ascii="Cambria Math" w:hAnsi="Cambria Math"/>
                        <w:noProof/>
                        <w:lang w:val="en-GB"/>
                      </w:rPr>
                      <m:t>L</m:t>
                    </m:r>
                  </m:sub>
                </m:sSub>
              </m:oMath>
            </m:oMathPara>
          </w:p>
        </w:tc>
        <w:tc>
          <w:tcPr>
            <w:tcW w:w="1559" w:type="dxa"/>
            <w:tcBorders>
              <w:top w:val="nil"/>
              <w:bottom w:val="nil"/>
            </w:tcBorders>
            <w:shd w:val="clear" w:color="auto" w:fill="auto"/>
            <w:noWrap/>
            <w:vAlign w:val="center"/>
            <w:hideMark/>
          </w:tcPr>
          <w:p w14:paraId="183D2645" w14:textId="77777777" w:rsidR="005C3BF6" w:rsidRPr="00BF0082" w:rsidRDefault="005C3BF6"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ParaPr>
                <m:jc m:val="left"/>
              </m:oMathParaPr>
              <m:oMath>
                <m:r>
                  <m:rPr>
                    <m:nor/>
                  </m:rPr>
                  <w:rPr>
                    <w:noProof/>
                    <w:lang w:val="en-GB"/>
                  </w:rPr>
                  <m:t>day</m:t>
                </m:r>
              </m:oMath>
            </m:oMathPara>
          </w:p>
        </w:tc>
        <w:tc>
          <w:tcPr>
            <w:tcW w:w="3402" w:type="dxa"/>
            <w:tcBorders>
              <w:top w:val="nil"/>
              <w:bottom w:val="nil"/>
            </w:tcBorders>
            <w:shd w:val="clear" w:color="auto" w:fill="auto"/>
            <w:noWrap/>
            <w:vAlign w:val="center"/>
            <w:hideMark/>
          </w:tcPr>
          <w:p w14:paraId="7CF1EAF9"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 xml:space="preserve">Lactation period (age at weaning) </w:t>
            </w:r>
          </w:p>
        </w:tc>
        <w:tc>
          <w:tcPr>
            <w:tcW w:w="992" w:type="dxa"/>
            <w:tcBorders>
              <w:top w:val="nil"/>
              <w:bottom w:val="nil"/>
            </w:tcBorders>
            <w:vAlign w:val="center"/>
          </w:tcPr>
          <w:p w14:paraId="3AF4F21D"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986</w:t>
            </w:r>
          </w:p>
        </w:tc>
        <w:tc>
          <w:tcPr>
            <w:tcW w:w="992" w:type="dxa"/>
            <w:tcBorders>
              <w:top w:val="nil"/>
              <w:bottom w:val="nil"/>
            </w:tcBorders>
            <w:vAlign w:val="center"/>
          </w:tcPr>
          <w:p w14:paraId="61F92032"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730</w:t>
            </w:r>
          </w:p>
        </w:tc>
        <w:tc>
          <w:tcPr>
            <w:tcW w:w="1422" w:type="dxa"/>
            <w:tcBorders>
              <w:top w:val="nil"/>
              <w:bottom w:val="nil"/>
            </w:tcBorders>
            <w:vAlign w:val="center"/>
          </w:tcPr>
          <w:p w14:paraId="72D89E31" w14:textId="5487AB99" w:rsidR="005C3BF6" w:rsidRPr="00BF0082" w:rsidRDefault="00A521A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2</w:t>
            </w:r>
          </w:p>
        </w:tc>
      </w:tr>
      <w:tr w:rsidR="007747B2" w:rsidRPr="00BF0082" w14:paraId="1388647E" w14:textId="7B39AB0B" w:rsidTr="0082745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3005CCAD" w14:textId="51E057E7"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T</m:t>
                    </m:r>
                  </m:e>
                  <m:sub>
                    <m:r>
                      <m:rPr>
                        <m:sty m:val="bi"/>
                      </m:rPr>
                      <w:rPr>
                        <w:rFonts w:ascii="Cambria Math" w:hAnsi="Cambria Math"/>
                        <w:noProof/>
                        <w:lang w:val="en-GB"/>
                      </w:rPr>
                      <m:t>N</m:t>
                    </m:r>
                  </m:sub>
                </m:sSub>
              </m:oMath>
            </m:oMathPara>
          </w:p>
        </w:tc>
        <w:tc>
          <w:tcPr>
            <w:tcW w:w="1559" w:type="dxa"/>
            <w:tcBorders>
              <w:top w:val="nil"/>
              <w:bottom w:val="nil"/>
            </w:tcBorders>
            <w:shd w:val="clear" w:color="auto" w:fill="auto"/>
            <w:noWrap/>
            <w:vAlign w:val="center"/>
            <w:hideMark/>
          </w:tcPr>
          <w:p w14:paraId="6989C3D0" w14:textId="77777777" w:rsidR="005C3BF6" w:rsidRPr="00BF0082" w:rsidRDefault="005C3BF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r>
                  <m:rPr>
                    <m:nor/>
                  </m:rPr>
                  <w:rPr>
                    <w:noProof/>
                    <w:lang w:val="en-GB"/>
                  </w:rPr>
                  <m:t>day</m:t>
                </m:r>
              </m:oMath>
            </m:oMathPara>
          </w:p>
        </w:tc>
        <w:tc>
          <w:tcPr>
            <w:tcW w:w="3402" w:type="dxa"/>
            <w:tcBorders>
              <w:top w:val="nil"/>
              <w:bottom w:val="nil"/>
            </w:tcBorders>
            <w:shd w:val="clear" w:color="auto" w:fill="auto"/>
            <w:noWrap/>
            <w:vAlign w:val="center"/>
            <w:hideMark/>
          </w:tcPr>
          <w:p w14:paraId="652A00E4"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Age at which milk consumption starts to decrease </w:t>
            </w:r>
          </w:p>
        </w:tc>
        <w:tc>
          <w:tcPr>
            <w:tcW w:w="992" w:type="dxa"/>
            <w:tcBorders>
              <w:top w:val="nil"/>
              <w:bottom w:val="nil"/>
            </w:tcBorders>
            <w:vAlign w:val="center"/>
          </w:tcPr>
          <w:p w14:paraId="6737157F"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365</w:t>
            </w:r>
          </w:p>
        </w:tc>
        <w:tc>
          <w:tcPr>
            <w:tcW w:w="992" w:type="dxa"/>
            <w:tcBorders>
              <w:top w:val="nil"/>
              <w:bottom w:val="nil"/>
            </w:tcBorders>
            <w:vAlign w:val="center"/>
          </w:tcPr>
          <w:p w14:paraId="4740945C"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365</w:t>
            </w:r>
          </w:p>
        </w:tc>
        <w:tc>
          <w:tcPr>
            <w:tcW w:w="1422" w:type="dxa"/>
            <w:tcBorders>
              <w:top w:val="nil"/>
              <w:bottom w:val="nil"/>
            </w:tcBorders>
            <w:vAlign w:val="center"/>
          </w:tcPr>
          <w:p w14:paraId="6E63BEE7" w14:textId="512B6F85" w:rsidR="005C3BF6" w:rsidRPr="00BF0082" w:rsidRDefault="00A70B7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3</w:t>
            </w:r>
          </w:p>
        </w:tc>
      </w:tr>
      <w:tr w:rsidR="007747B2" w:rsidRPr="00BF0082" w14:paraId="0F3A54C0" w14:textId="039F9224" w:rsidTr="0082745D">
        <w:trPr>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7283EBCB" w14:textId="19515EE3"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T</m:t>
                    </m:r>
                  </m:e>
                  <m:sub>
                    <m:r>
                      <m:rPr>
                        <m:sty m:val="bi"/>
                      </m:rPr>
                      <w:rPr>
                        <w:rFonts w:ascii="Cambria Math" w:hAnsi="Cambria Math"/>
                        <w:noProof/>
                        <w:lang w:val="en-GB"/>
                      </w:rPr>
                      <m:t>R</m:t>
                    </m:r>
                  </m:sub>
                </m:sSub>
              </m:oMath>
            </m:oMathPara>
          </w:p>
        </w:tc>
        <w:tc>
          <w:tcPr>
            <w:tcW w:w="1559" w:type="dxa"/>
            <w:tcBorders>
              <w:top w:val="nil"/>
              <w:bottom w:val="nil"/>
            </w:tcBorders>
            <w:shd w:val="clear" w:color="auto" w:fill="auto"/>
            <w:noWrap/>
            <w:vAlign w:val="center"/>
            <w:hideMark/>
          </w:tcPr>
          <w:p w14:paraId="49F9C986" w14:textId="77777777" w:rsidR="005C3BF6" w:rsidRPr="00BF0082" w:rsidRDefault="005C3BF6"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ParaPr>
                <m:jc m:val="left"/>
              </m:oMathParaPr>
              <m:oMath>
                <m:r>
                  <m:rPr>
                    <m:nor/>
                  </m:rPr>
                  <w:rPr>
                    <w:noProof/>
                    <w:lang w:val="en-GB"/>
                  </w:rPr>
                  <m:t>day</m:t>
                </m:r>
              </m:oMath>
            </m:oMathPara>
          </w:p>
        </w:tc>
        <w:tc>
          <w:tcPr>
            <w:tcW w:w="3402" w:type="dxa"/>
            <w:tcBorders>
              <w:top w:val="nil"/>
              <w:bottom w:val="nil"/>
            </w:tcBorders>
            <w:shd w:val="clear" w:color="auto" w:fill="auto"/>
            <w:noWrap/>
            <w:vAlign w:val="center"/>
            <w:hideMark/>
          </w:tcPr>
          <w:p w14:paraId="0EB50069"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 xml:space="preserve">Age at which prey feeding efficiency is 50% </w:t>
            </w:r>
          </w:p>
        </w:tc>
        <w:tc>
          <w:tcPr>
            <w:tcW w:w="992" w:type="dxa"/>
            <w:tcBorders>
              <w:top w:val="nil"/>
              <w:bottom w:val="nil"/>
            </w:tcBorders>
            <w:vAlign w:val="center"/>
          </w:tcPr>
          <w:p w14:paraId="5A3B167E"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365</w:t>
            </w:r>
          </w:p>
        </w:tc>
        <w:tc>
          <w:tcPr>
            <w:tcW w:w="992" w:type="dxa"/>
            <w:tcBorders>
              <w:top w:val="nil"/>
              <w:bottom w:val="nil"/>
            </w:tcBorders>
            <w:vAlign w:val="center"/>
          </w:tcPr>
          <w:p w14:paraId="27DAC813"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365</w:t>
            </w:r>
          </w:p>
        </w:tc>
        <w:tc>
          <w:tcPr>
            <w:tcW w:w="1422" w:type="dxa"/>
            <w:tcBorders>
              <w:top w:val="nil"/>
              <w:bottom w:val="nil"/>
            </w:tcBorders>
            <w:vAlign w:val="center"/>
          </w:tcPr>
          <w:p w14:paraId="1BB62A0D" w14:textId="73CEDE2D" w:rsidR="005C3BF6" w:rsidRPr="00BF0082" w:rsidRDefault="00A521A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3</w:t>
            </w:r>
          </w:p>
        </w:tc>
      </w:tr>
      <w:tr w:rsidR="007747B2" w:rsidRPr="00BF0082" w14:paraId="73D9F6E2" w14:textId="3677E653" w:rsidTr="0082745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4BD2070A" w14:textId="48C62F3E"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l</m:t>
                    </m:r>
                  </m:e>
                  <m:sub>
                    <m:r>
                      <m:rPr>
                        <m:sty m:val="bi"/>
                      </m:rPr>
                      <w:rPr>
                        <w:rFonts w:ascii="Cambria Math" w:hAnsi="Cambria Math"/>
                        <w:noProof/>
                        <w:lang w:val="en-GB"/>
                      </w:rPr>
                      <m:t>b</m:t>
                    </m:r>
                  </m:sub>
                </m:sSub>
              </m:oMath>
            </m:oMathPara>
          </w:p>
        </w:tc>
        <w:tc>
          <w:tcPr>
            <w:tcW w:w="1559" w:type="dxa"/>
            <w:tcBorders>
              <w:top w:val="nil"/>
              <w:bottom w:val="nil"/>
            </w:tcBorders>
            <w:shd w:val="clear" w:color="auto" w:fill="auto"/>
            <w:noWrap/>
            <w:vAlign w:val="center"/>
            <w:hideMark/>
          </w:tcPr>
          <w:p w14:paraId="5364FACD" w14:textId="77777777" w:rsidR="005C3BF6" w:rsidRPr="00BF0082" w:rsidRDefault="005C3BF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r>
                  <m:rPr>
                    <m:nor/>
                  </m:rPr>
                  <w:rPr>
                    <w:noProof/>
                    <w:lang w:val="en-GB"/>
                  </w:rPr>
                  <m:t>cm</m:t>
                </m:r>
              </m:oMath>
            </m:oMathPara>
          </w:p>
        </w:tc>
        <w:tc>
          <w:tcPr>
            <w:tcW w:w="3402" w:type="dxa"/>
            <w:tcBorders>
              <w:top w:val="nil"/>
              <w:bottom w:val="nil"/>
            </w:tcBorders>
            <w:shd w:val="clear" w:color="auto" w:fill="auto"/>
            <w:noWrap/>
            <w:vAlign w:val="center"/>
            <w:hideMark/>
          </w:tcPr>
          <w:p w14:paraId="63F66117"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Structural length at birth </w:t>
            </w:r>
          </w:p>
        </w:tc>
        <w:tc>
          <w:tcPr>
            <w:tcW w:w="992" w:type="dxa"/>
            <w:tcBorders>
              <w:top w:val="nil"/>
              <w:bottom w:val="nil"/>
            </w:tcBorders>
            <w:vAlign w:val="center"/>
          </w:tcPr>
          <w:p w14:paraId="1C349664"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198</w:t>
            </w:r>
          </w:p>
        </w:tc>
        <w:tc>
          <w:tcPr>
            <w:tcW w:w="992" w:type="dxa"/>
            <w:tcBorders>
              <w:top w:val="nil"/>
              <w:bottom w:val="nil"/>
            </w:tcBorders>
            <w:vAlign w:val="center"/>
          </w:tcPr>
          <w:p w14:paraId="287A3898"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270</w:t>
            </w:r>
          </w:p>
        </w:tc>
        <w:tc>
          <w:tcPr>
            <w:tcW w:w="1422" w:type="dxa"/>
            <w:tcBorders>
              <w:top w:val="nil"/>
              <w:bottom w:val="nil"/>
            </w:tcBorders>
            <w:vAlign w:val="center"/>
          </w:tcPr>
          <w:p w14:paraId="30CBE16F" w14:textId="49308FEB" w:rsidR="005C3BF6" w:rsidRPr="00BF0082" w:rsidRDefault="00FC4DF9"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4</w:t>
            </w:r>
            <w:r w:rsidR="00A521A6">
              <w:rPr>
                <w:noProof/>
                <w:lang w:val="en-GB"/>
              </w:rPr>
              <w:t xml:space="preserve">, </w:t>
            </w:r>
            <w:r>
              <w:rPr>
                <w:noProof/>
                <w:lang w:val="en-GB"/>
              </w:rPr>
              <w:t>1</w:t>
            </w:r>
            <w:r w:rsidR="00A521A6">
              <w:rPr>
                <w:noProof/>
                <w:lang w:val="en-GB"/>
              </w:rPr>
              <w:t xml:space="preserve"> </w:t>
            </w:r>
          </w:p>
        </w:tc>
      </w:tr>
      <w:tr w:rsidR="007747B2" w:rsidRPr="00BF0082" w14:paraId="431352AA" w14:textId="18942CA7" w:rsidTr="0082745D">
        <w:trPr>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0BE129E0" w14:textId="3018B243"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l</m:t>
                    </m:r>
                  </m:e>
                  <m:sub>
                    <m:r>
                      <m:rPr>
                        <m:sty m:val="b"/>
                      </m:rPr>
                      <w:rPr>
                        <w:rFonts w:ascii="Cambria Math" w:hAnsi="Cambria Math"/>
                        <w:noProof/>
                        <w:lang w:val="en-GB"/>
                      </w:rPr>
                      <m:t>∞</m:t>
                    </m:r>
                  </m:sub>
                </m:sSub>
              </m:oMath>
            </m:oMathPara>
          </w:p>
        </w:tc>
        <w:tc>
          <w:tcPr>
            <w:tcW w:w="1559" w:type="dxa"/>
            <w:tcBorders>
              <w:top w:val="nil"/>
              <w:bottom w:val="nil"/>
            </w:tcBorders>
            <w:shd w:val="clear" w:color="auto" w:fill="auto"/>
            <w:noWrap/>
            <w:vAlign w:val="center"/>
            <w:hideMark/>
          </w:tcPr>
          <w:p w14:paraId="58102DE5" w14:textId="77777777" w:rsidR="005C3BF6" w:rsidRPr="00BF0082" w:rsidRDefault="005C3BF6"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ParaPr>
                <m:jc m:val="left"/>
              </m:oMathParaPr>
              <m:oMath>
                <m:r>
                  <m:rPr>
                    <m:nor/>
                  </m:rPr>
                  <w:rPr>
                    <w:noProof/>
                    <w:lang w:val="en-GB"/>
                  </w:rPr>
                  <m:t>cm</m:t>
                </m:r>
              </m:oMath>
            </m:oMathPara>
          </w:p>
        </w:tc>
        <w:tc>
          <w:tcPr>
            <w:tcW w:w="3402" w:type="dxa"/>
            <w:tcBorders>
              <w:top w:val="nil"/>
              <w:bottom w:val="nil"/>
            </w:tcBorders>
            <w:shd w:val="clear" w:color="auto" w:fill="auto"/>
            <w:noWrap/>
            <w:vAlign w:val="center"/>
            <w:hideMark/>
          </w:tcPr>
          <w:p w14:paraId="7FBD9AE1" w14:textId="4179D19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Ultimate structural length</w:t>
            </w:r>
          </w:p>
        </w:tc>
        <w:tc>
          <w:tcPr>
            <w:tcW w:w="992" w:type="dxa"/>
            <w:tcBorders>
              <w:top w:val="nil"/>
              <w:bottom w:val="nil"/>
            </w:tcBorders>
            <w:vAlign w:val="center"/>
          </w:tcPr>
          <w:p w14:paraId="17F747E3"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475</w:t>
            </w:r>
          </w:p>
        </w:tc>
        <w:tc>
          <w:tcPr>
            <w:tcW w:w="992" w:type="dxa"/>
            <w:tcBorders>
              <w:top w:val="nil"/>
              <w:bottom w:val="nil"/>
            </w:tcBorders>
            <w:vAlign w:val="center"/>
          </w:tcPr>
          <w:p w14:paraId="048D7D7A"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670</w:t>
            </w:r>
          </w:p>
        </w:tc>
        <w:tc>
          <w:tcPr>
            <w:tcW w:w="1422" w:type="dxa"/>
            <w:tcBorders>
              <w:top w:val="nil"/>
              <w:bottom w:val="nil"/>
            </w:tcBorders>
            <w:vAlign w:val="center"/>
          </w:tcPr>
          <w:p w14:paraId="0781C788" w14:textId="04B73597" w:rsidR="005C3BF6" w:rsidRPr="00BF0082" w:rsidRDefault="00A521A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 xml:space="preserve">5, </w:t>
            </w:r>
            <w:r w:rsidR="00FC4DF9">
              <w:rPr>
                <w:noProof/>
                <w:lang w:val="en-GB"/>
              </w:rPr>
              <w:t>6</w:t>
            </w:r>
          </w:p>
        </w:tc>
      </w:tr>
      <w:tr w:rsidR="007747B2" w:rsidRPr="00BF0082" w14:paraId="2D6B4645" w14:textId="2BAA615E" w:rsidTr="0082745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31640DA6" w14:textId="224CEBF1" w:rsidR="005C3BF6" w:rsidRPr="002510F2" w:rsidRDefault="002510F2" w:rsidP="0082745D">
            <w:pPr>
              <w:pStyle w:val="NoSpacing"/>
              <w:rPr>
                <w:noProof/>
                <w:lang w:val="en-GB"/>
              </w:rPr>
            </w:pPr>
            <m:oMathPara>
              <m:oMathParaPr>
                <m:jc m:val="left"/>
              </m:oMathParaPr>
              <m:oMath>
                <m:r>
                  <m:rPr>
                    <m:sty m:val="bi"/>
                  </m:rPr>
                  <w:rPr>
                    <w:rFonts w:ascii="Cambria Math" w:hAnsi="Cambria Math"/>
                    <w:noProof/>
                    <w:lang w:val="en-GB"/>
                  </w:rPr>
                  <m:t>k</m:t>
                </m:r>
              </m:oMath>
            </m:oMathPara>
          </w:p>
        </w:tc>
        <w:tc>
          <w:tcPr>
            <w:tcW w:w="1559" w:type="dxa"/>
            <w:tcBorders>
              <w:top w:val="nil"/>
              <w:bottom w:val="nil"/>
            </w:tcBorders>
            <w:shd w:val="clear" w:color="auto" w:fill="auto"/>
            <w:noWrap/>
            <w:vAlign w:val="center"/>
            <w:hideMark/>
          </w:tcPr>
          <w:p w14:paraId="666C614F" w14:textId="77777777" w:rsidR="005C3BF6" w:rsidRPr="00BF0082" w:rsidRDefault="00C16EB1"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hideMark/>
          </w:tcPr>
          <w:p w14:paraId="66DE02E4" w14:textId="6189A35E"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Von Bertalanffy growth rate</w:t>
            </w:r>
          </w:p>
        </w:tc>
        <w:tc>
          <w:tcPr>
            <w:tcW w:w="992" w:type="dxa"/>
            <w:tcBorders>
              <w:top w:val="nil"/>
              <w:bottom w:val="nil"/>
            </w:tcBorders>
            <w:vAlign w:val="center"/>
          </w:tcPr>
          <w:p w14:paraId="22CCD311"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rPr>
            </w:pPr>
            <w:r w:rsidRPr="00BF0082">
              <w:rPr>
                <w:noProof/>
              </w:rPr>
              <w:t>0.000319</w:t>
            </w:r>
          </w:p>
        </w:tc>
        <w:tc>
          <w:tcPr>
            <w:tcW w:w="992" w:type="dxa"/>
            <w:tcBorders>
              <w:top w:val="nil"/>
              <w:bottom w:val="nil"/>
            </w:tcBorders>
            <w:vAlign w:val="center"/>
          </w:tcPr>
          <w:p w14:paraId="26C9F93C"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w:t>
            </w:r>
            <w:r w:rsidRPr="00BF0082">
              <w:rPr>
                <w:noProof/>
              </w:rPr>
              <w:t>000663</w:t>
            </w:r>
          </w:p>
        </w:tc>
        <w:tc>
          <w:tcPr>
            <w:tcW w:w="1422" w:type="dxa"/>
            <w:tcBorders>
              <w:top w:val="nil"/>
              <w:bottom w:val="nil"/>
            </w:tcBorders>
            <w:vAlign w:val="center"/>
          </w:tcPr>
          <w:p w14:paraId="42661383" w14:textId="55C77A52" w:rsidR="005C3BF6" w:rsidRPr="00BF0082" w:rsidRDefault="00CA6775"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this study</w:t>
            </w:r>
          </w:p>
        </w:tc>
      </w:tr>
      <w:tr w:rsidR="007747B2" w:rsidRPr="00BF0082" w14:paraId="2216BB12" w14:textId="047E3F9B" w:rsidTr="0082745D">
        <w:trPr>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58A3097D" w14:textId="03917AE1"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ω</m:t>
                    </m:r>
                  </m:e>
                  <m:sub>
                    <m:r>
                      <m:rPr>
                        <m:sty m:val="b"/>
                      </m:rPr>
                      <w:rPr>
                        <w:rFonts w:ascii="Cambria Math" w:hAnsi="Cambria Math"/>
                        <w:noProof/>
                        <w:lang w:val="en-GB"/>
                      </w:rPr>
                      <m:t>1</m:t>
                    </m:r>
                  </m:sub>
                </m:sSub>
              </m:oMath>
            </m:oMathPara>
          </w:p>
        </w:tc>
        <w:tc>
          <w:tcPr>
            <w:tcW w:w="1559" w:type="dxa"/>
            <w:tcBorders>
              <w:top w:val="nil"/>
              <w:bottom w:val="nil"/>
            </w:tcBorders>
            <w:shd w:val="clear" w:color="auto" w:fill="auto"/>
            <w:noWrap/>
            <w:vAlign w:val="center"/>
            <w:hideMark/>
          </w:tcPr>
          <w:p w14:paraId="01AFE6C4" w14:textId="59AC4DF8" w:rsidR="005C3BF6" w:rsidRPr="00BF0082" w:rsidRDefault="005C3BF6" w:rsidP="0082745D">
            <w:pPr>
              <w:pStyle w:val="NoSpacing"/>
              <w:cnfStyle w:val="000000000000" w:firstRow="0" w:lastRow="0" w:firstColumn="0" w:lastColumn="0" w:oddVBand="0" w:evenVBand="0" w:oddHBand="0" w:evenHBand="0" w:firstRowFirstColumn="0" w:firstRowLastColumn="0" w:lastRowFirstColumn="0" w:lastRowLastColumn="0"/>
              <w:rPr>
                <w:noProof/>
                <w:vertAlign w:val="superscript"/>
                <w:lang w:val="en-GB"/>
              </w:rPr>
            </w:pPr>
            <m:oMathPara>
              <m:oMathParaPr>
                <m:jc m:val="left"/>
              </m:oMathParaPr>
              <m:oMath>
                <m:r>
                  <m:rPr>
                    <m:nor/>
                  </m:rPr>
                  <w:rPr>
                    <w:noProof/>
                    <w:lang w:val="en-GB"/>
                  </w:rPr>
                  <m:t>kg·</m:t>
                </m:r>
                <m:sSup>
                  <m:sSupPr>
                    <m:ctrlPr>
                      <w:rPr>
                        <w:rFonts w:ascii="Cambria Math" w:hAnsi="Cambria Math"/>
                        <w:i/>
                        <w:noProof/>
                        <w:lang w:val="en-GB"/>
                      </w:rPr>
                    </m:ctrlPr>
                  </m:sSupPr>
                  <m:e>
                    <m:r>
                      <m:rPr>
                        <m:nor/>
                      </m:rPr>
                      <w:rPr>
                        <w:noProof/>
                        <w:lang w:val="en-GB"/>
                      </w:rPr>
                      <m:t>cm</m:t>
                    </m:r>
                  </m:e>
                  <m:sup>
                    <m:r>
                      <m:rPr>
                        <m:nor/>
                      </m:rPr>
                      <w:rPr>
                        <w:noProof/>
                        <w:lang w:val="en-GB"/>
                      </w:rPr>
                      <m:t>–</m:t>
                    </m:r>
                    <m:sSub>
                      <m:sSubPr>
                        <m:ctrlPr>
                          <w:rPr>
                            <w:rFonts w:ascii="Cambria Math" w:hAnsi="Cambria Math"/>
                            <w:noProof/>
                            <w:lang w:val="en-GB"/>
                          </w:rPr>
                        </m:ctrlPr>
                      </m:sSubPr>
                      <m:e>
                        <m:r>
                          <w:rPr>
                            <w:rFonts w:ascii="Cambria Math" w:hAnsi="Cambria Math"/>
                            <w:noProof/>
                            <w:lang w:val="en-GB"/>
                          </w:rPr>
                          <m:t>ω</m:t>
                        </m:r>
                      </m:e>
                      <m:sub>
                        <m:r>
                          <w:rPr>
                            <w:rFonts w:ascii="Cambria Math" w:hAnsi="Cambria Math"/>
                            <w:noProof/>
                            <w:lang w:val="en-GB"/>
                          </w:rPr>
                          <m:t>2</m:t>
                        </m:r>
                      </m:sub>
                    </m:sSub>
                  </m:sup>
                </m:sSup>
              </m:oMath>
            </m:oMathPara>
          </w:p>
        </w:tc>
        <w:tc>
          <w:tcPr>
            <w:tcW w:w="3402" w:type="dxa"/>
            <w:tcBorders>
              <w:top w:val="nil"/>
              <w:bottom w:val="nil"/>
            </w:tcBorders>
            <w:shd w:val="clear" w:color="auto" w:fill="auto"/>
            <w:noWrap/>
            <w:vAlign w:val="center"/>
            <w:hideMark/>
          </w:tcPr>
          <w:p w14:paraId="5434A553"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 xml:space="preserve">Structural mass-length scaling constant </w:t>
            </w:r>
          </w:p>
        </w:tc>
        <w:tc>
          <w:tcPr>
            <w:tcW w:w="992" w:type="dxa"/>
            <w:tcBorders>
              <w:top w:val="nil"/>
              <w:bottom w:val="nil"/>
            </w:tcBorders>
            <w:vAlign w:val="center"/>
          </w:tcPr>
          <w:p w14:paraId="4AA6E7B7"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2.93·10</w:t>
            </w:r>
            <w:r w:rsidRPr="00BF0082">
              <w:rPr>
                <w:noProof/>
                <w:vertAlign w:val="superscript"/>
                <w:lang w:val="en-GB"/>
              </w:rPr>
              <w:t>–5</w:t>
            </w:r>
          </w:p>
        </w:tc>
        <w:tc>
          <w:tcPr>
            <w:tcW w:w="992" w:type="dxa"/>
            <w:tcBorders>
              <w:top w:val="nil"/>
              <w:bottom w:val="nil"/>
            </w:tcBorders>
            <w:vAlign w:val="center"/>
          </w:tcPr>
          <w:p w14:paraId="001433E0"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2.93·10</w:t>
            </w:r>
            <w:r w:rsidRPr="00BF0082">
              <w:rPr>
                <w:noProof/>
                <w:vertAlign w:val="superscript"/>
                <w:lang w:val="en-GB"/>
              </w:rPr>
              <w:t>–5</w:t>
            </w:r>
          </w:p>
        </w:tc>
        <w:tc>
          <w:tcPr>
            <w:tcW w:w="1422" w:type="dxa"/>
            <w:tcBorders>
              <w:top w:val="nil"/>
              <w:bottom w:val="nil"/>
            </w:tcBorders>
            <w:vAlign w:val="center"/>
          </w:tcPr>
          <w:p w14:paraId="7A5ACAC9" w14:textId="53F869D9" w:rsidR="005C3BF6" w:rsidRPr="00BF0082" w:rsidRDefault="00CA6775"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this study</w:t>
            </w:r>
          </w:p>
        </w:tc>
      </w:tr>
      <w:tr w:rsidR="007747B2" w:rsidRPr="00BF0082" w14:paraId="50B36E7C" w14:textId="08228B0B" w:rsidTr="0082745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5D1358D6" w14:textId="7566EAD4"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ω</m:t>
                    </m:r>
                  </m:e>
                  <m:sub>
                    <m:r>
                      <m:rPr>
                        <m:sty m:val="b"/>
                      </m:rPr>
                      <w:rPr>
                        <w:rFonts w:ascii="Cambria Math" w:hAnsi="Cambria Math"/>
                        <w:noProof/>
                        <w:lang w:val="en-GB"/>
                      </w:rPr>
                      <m:t>2</m:t>
                    </m:r>
                  </m:sub>
                </m:sSub>
              </m:oMath>
            </m:oMathPara>
          </w:p>
        </w:tc>
        <w:tc>
          <w:tcPr>
            <w:tcW w:w="1559" w:type="dxa"/>
            <w:tcBorders>
              <w:top w:val="nil"/>
              <w:bottom w:val="nil"/>
            </w:tcBorders>
            <w:shd w:val="clear" w:color="auto" w:fill="auto"/>
            <w:noWrap/>
            <w:vAlign w:val="center"/>
            <w:hideMark/>
          </w:tcPr>
          <w:p w14:paraId="4A43F32A" w14:textId="77777777" w:rsidR="005C3BF6" w:rsidRPr="00BF0082" w:rsidRDefault="005C3BF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w:t>
            </w:r>
          </w:p>
        </w:tc>
        <w:tc>
          <w:tcPr>
            <w:tcW w:w="3402" w:type="dxa"/>
            <w:tcBorders>
              <w:top w:val="nil"/>
              <w:bottom w:val="nil"/>
            </w:tcBorders>
            <w:shd w:val="clear" w:color="auto" w:fill="auto"/>
            <w:noWrap/>
            <w:vAlign w:val="center"/>
            <w:hideMark/>
          </w:tcPr>
          <w:p w14:paraId="2BD481E7"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Structural mass-length scaling exponent </w:t>
            </w:r>
          </w:p>
        </w:tc>
        <w:tc>
          <w:tcPr>
            <w:tcW w:w="992" w:type="dxa"/>
            <w:tcBorders>
              <w:top w:val="nil"/>
              <w:bottom w:val="nil"/>
            </w:tcBorders>
            <w:vAlign w:val="center"/>
          </w:tcPr>
          <w:p w14:paraId="111D3FB0"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2.8</w:t>
            </w:r>
          </w:p>
        </w:tc>
        <w:tc>
          <w:tcPr>
            <w:tcW w:w="992" w:type="dxa"/>
            <w:tcBorders>
              <w:top w:val="nil"/>
              <w:bottom w:val="nil"/>
            </w:tcBorders>
            <w:vAlign w:val="center"/>
          </w:tcPr>
          <w:p w14:paraId="2A210B18"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2.8</w:t>
            </w:r>
          </w:p>
        </w:tc>
        <w:tc>
          <w:tcPr>
            <w:tcW w:w="1422" w:type="dxa"/>
            <w:tcBorders>
              <w:top w:val="nil"/>
              <w:bottom w:val="nil"/>
            </w:tcBorders>
            <w:vAlign w:val="center"/>
          </w:tcPr>
          <w:p w14:paraId="303CC897" w14:textId="7BDA381E" w:rsidR="005C3BF6" w:rsidRPr="00BF0082" w:rsidRDefault="00CA6775"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this study</w:t>
            </w:r>
          </w:p>
        </w:tc>
      </w:tr>
      <w:tr w:rsidR="007747B2" w:rsidRPr="00BF0082" w14:paraId="01B0ED4B" w14:textId="26E8070C" w:rsidTr="0082745D">
        <w:trPr>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0EA271ED" w14:textId="36AC22EC"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θ</m:t>
                    </m:r>
                  </m:e>
                  <m:sub>
                    <m:r>
                      <m:rPr>
                        <m:sty m:val="bi"/>
                      </m:rPr>
                      <w:rPr>
                        <w:rFonts w:ascii="Cambria Math" w:hAnsi="Cambria Math"/>
                        <w:noProof/>
                        <w:lang w:val="en-GB"/>
                      </w:rPr>
                      <m:t>F</m:t>
                    </m:r>
                  </m:sub>
                </m:sSub>
              </m:oMath>
            </m:oMathPara>
          </w:p>
        </w:tc>
        <w:tc>
          <w:tcPr>
            <w:tcW w:w="1559" w:type="dxa"/>
            <w:tcBorders>
              <w:top w:val="nil"/>
              <w:bottom w:val="nil"/>
            </w:tcBorders>
            <w:shd w:val="clear" w:color="auto" w:fill="auto"/>
            <w:noWrap/>
            <w:vAlign w:val="center"/>
            <w:hideMark/>
          </w:tcPr>
          <w:p w14:paraId="08F953A3" w14:textId="77777777" w:rsidR="005C3BF6" w:rsidRPr="00BF0082" w:rsidRDefault="005C3BF6"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w:t>
            </w:r>
          </w:p>
        </w:tc>
        <w:tc>
          <w:tcPr>
            <w:tcW w:w="3402" w:type="dxa"/>
            <w:tcBorders>
              <w:top w:val="nil"/>
              <w:bottom w:val="nil"/>
            </w:tcBorders>
            <w:shd w:val="clear" w:color="auto" w:fill="auto"/>
            <w:noWrap/>
            <w:vAlign w:val="center"/>
            <w:hideMark/>
          </w:tcPr>
          <w:p w14:paraId="600A5314"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 xml:space="preserve">Relative metabolic cost of reserves </w:t>
            </w:r>
          </w:p>
        </w:tc>
        <w:tc>
          <w:tcPr>
            <w:tcW w:w="992" w:type="dxa"/>
            <w:tcBorders>
              <w:top w:val="nil"/>
              <w:bottom w:val="nil"/>
            </w:tcBorders>
            <w:vAlign w:val="center"/>
          </w:tcPr>
          <w:p w14:paraId="40B2633A"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0.2</w:t>
            </w:r>
          </w:p>
        </w:tc>
        <w:tc>
          <w:tcPr>
            <w:tcW w:w="992" w:type="dxa"/>
            <w:tcBorders>
              <w:top w:val="nil"/>
              <w:bottom w:val="nil"/>
            </w:tcBorders>
            <w:vAlign w:val="center"/>
          </w:tcPr>
          <w:p w14:paraId="169588E1"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0.2</w:t>
            </w:r>
          </w:p>
        </w:tc>
        <w:tc>
          <w:tcPr>
            <w:tcW w:w="1422" w:type="dxa"/>
            <w:tcBorders>
              <w:top w:val="nil"/>
              <w:bottom w:val="nil"/>
            </w:tcBorders>
            <w:vAlign w:val="center"/>
          </w:tcPr>
          <w:p w14:paraId="2E63280F" w14:textId="1FB138FF" w:rsidR="005C3BF6" w:rsidRPr="00BF0082" w:rsidRDefault="00F606F0"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7</w:t>
            </w:r>
          </w:p>
        </w:tc>
      </w:tr>
      <w:tr w:rsidR="007747B2" w:rsidRPr="00BF0082" w14:paraId="7550D170" w14:textId="2D0492FA" w:rsidTr="0082745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7B8C09A5" w14:textId="00B60CBF" w:rsidR="005C3BF6" w:rsidRPr="002510F2" w:rsidRDefault="002510F2" w:rsidP="0082745D">
            <w:pPr>
              <w:pStyle w:val="NoSpacing"/>
              <w:rPr>
                <w:noProof/>
                <w:lang w:val="en-GB"/>
              </w:rPr>
            </w:pPr>
            <m:oMathPara>
              <m:oMathParaPr>
                <m:jc m:val="left"/>
              </m:oMathParaPr>
              <m:oMath>
                <m:r>
                  <m:rPr>
                    <m:sty m:val="bi"/>
                  </m:rPr>
                  <w:rPr>
                    <w:rFonts w:ascii="Cambria Math" w:hAnsi="Cambria Math"/>
                    <w:noProof/>
                    <w:lang w:val="en-GB"/>
                  </w:rPr>
                  <m:t>ρ</m:t>
                </m:r>
              </m:oMath>
            </m:oMathPara>
          </w:p>
        </w:tc>
        <w:tc>
          <w:tcPr>
            <w:tcW w:w="1559" w:type="dxa"/>
            <w:tcBorders>
              <w:top w:val="nil"/>
              <w:bottom w:val="nil"/>
            </w:tcBorders>
            <w:shd w:val="clear" w:color="auto" w:fill="auto"/>
            <w:noWrap/>
            <w:vAlign w:val="center"/>
            <w:hideMark/>
          </w:tcPr>
          <w:p w14:paraId="465AF003" w14:textId="77777777" w:rsidR="005C3BF6" w:rsidRPr="00BF0082" w:rsidRDefault="005C3BF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w:t>
            </w:r>
          </w:p>
        </w:tc>
        <w:tc>
          <w:tcPr>
            <w:tcW w:w="3402" w:type="dxa"/>
            <w:tcBorders>
              <w:top w:val="nil"/>
              <w:bottom w:val="nil"/>
            </w:tcBorders>
            <w:shd w:val="clear" w:color="auto" w:fill="auto"/>
            <w:noWrap/>
            <w:vAlign w:val="center"/>
            <w:hideMark/>
          </w:tcPr>
          <w:p w14:paraId="29B6713E"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Target body condition threshold</w:t>
            </w:r>
          </w:p>
        </w:tc>
        <w:tc>
          <w:tcPr>
            <w:tcW w:w="992" w:type="dxa"/>
            <w:tcBorders>
              <w:top w:val="nil"/>
              <w:bottom w:val="nil"/>
            </w:tcBorders>
            <w:vAlign w:val="center"/>
          </w:tcPr>
          <w:p w14:paraId="7901D2CB"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0.3</w:t>
            </w:r>
          </w:p>
        </w:tc>
        <w:tc>
          <w:tcPr>
            <w:tcW w:w="992" w:type="dxa"/>
            <w:tcBorders>
              <w:top w:val="nil"/>
              <w:bottom w:val="nil"/>
            </w:tcBorders>
            <w:vAlign w:val="center"/>
          </w:tcPr>
          <w:p w14:paraId="5600BC9E" w14:textId="77777777"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0.3</w:t>
            </w:r>
          </w:p>
        </w:tc>
        <w:tc>
          <w:tcPr>
            <w:tcW w:w="1422" w:type="dxa"/>
            <w:tcBorders>
              <w:top w:val="nil"/>
              <w:bottom w:val="nil"/>
            </w:tcBorders>
            <w:vAlign w:val="center"/>
          </w:tcPr>
          <w:p w14:paraId="23875E42" w14:textId="5D30CB6F" w:rsidR="005C3BF6" w:rsidRPr="00BF0082" w:rsidRDefault="00AC2613"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3</w:t>
            </w:r>
          </w:p>
        </w:tc>
      </w:tr>
      <w:tr w:rsidR="007747B2" w:rsidRPr="00BF0082" w14:paraId="43DC0DF5" w14:textId="1B37D0DC" w:rsidTr="0082745D">
        <w:trPr>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387F9FF0" w14:textId="59705548"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ρ</m:t>
                    </m:r>
                  </m:e>
                  <m:sub>
                    <m:r>
                      <m:rPr>
                        <m:sty m:val="bi"/>
                      </m:rPr>
                      <w:rPr>
                        <w:rFonts w:ascii="Cambria Math" w:hAnsi="Cambria Math"/>
                        <w:noProof/>
                        <w:lang w:val="en-GB"/>
                      </w:rPr>
                      <m:t>s</m:t>
                    </m:r>
                  </m:sub>
                </m:sSub>
              </m:oMath>
            </m:oMathPara>
          </w:p>
        </w:tc>
        <w:tc>
          <w:tcPr>
            <w:tcW w:w="1559" w:type="dxa"/>
            <w:tcBorders>
              <w:top w:val="nil"/>
              <w:bottom w:val="nil"/>
            </w:tcBorders>
            <w:shd w:val="clear" w:color="auto" w:fill="auto"/>
            <w:noWrap/>
            <w:vAlign w:val="center"/>
            <w:hideMark/>
          </w:tcPr>
          <w:p w14:paraId="1327838C" w14:textId="77777777" w:rsidR="005C3BF6" w:rsidRPr="00BF0082" w:rsidRDefault="005C3BF6"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w:t>
            </w:r>
          </w:p>
        </w:tc>
        <w:tc>
          <w:tcPr>
            <w:tcW w:w="3402" w:type="dxa"/>
            <w:tcBorders>
              <w:top w:val="nil"/>
              <w:bottom w:val="nil"/>
            </w:tcBorders>
            <w:shd w:val="clear" w:color="auto" w:fill="auto"/>
            <w:noWrap/>
            <w:vAlign w:val="center"/>
            <w:hideMark/>
          </w:tcPr>
          <w:p w14:paraId="6DEE3EAA"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Starvation body condition threshold</w:t>
            </w:r>
          </w:p>
        </w:tc>
        <w:tc>
          <w:tcPr>
            <w:tcW w:w="992" w:type="dxa"/>
            <w:tcBorders>
              <w:top w:val="nil"/>
              <w:bottom w:val="nil"/>
            </w:tcBorders>
            <w:vAlign w:val="center"/>
          </w:tcPr>
          <w:p w14:paraId="21C8AB35"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0.15</w:t>
            </w:r>
          </w:p>
        </w:tc>
        <w:tc>
          <w:tcPr>
            <w:tcW w:w="992" w:type="dxa"/>
            <w:tcBorders>
              <w:top w:val="nil"/>
              <w:bottom w:val="nil"/>
            </w:tcBorders>
            <w:vAlign w:val="center"/>
          </w:tcPr>
          <w:p w14:paraId="2A5CC41B" w14:textId="77777777" w:rsidR="005C3BF6" w:rsidRPr="00BF0082" w:rsidRDefault="005C3BF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0.15</w:t>
            </w:r>
          </w:p>
        </w:tc>
        <w:tc>
          <w:tcPr>
            <w:tcW w:w="1422" w:type="dxa"/>
            <w:tcBorders>
              <w:top w:val="nil"/>
              <w:bottom w:val="nil"/>
            </w:tcBorders>
            <w:vAlign w:val="center"/>
          </w:tcPr>
          <w:p w14:paraId="47545B51" w14:textId="33F95A1C" w:rsidR="005C3BF6" w:rsidRPr="00BF0082" w:rsidRDefault="00AC2613"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3</w:t>
            </w:r>
          </w:p>
        </w:tc>
      </w:tr>
      <w:tr w:rsidR="007747B2" w:rsidRPr="00BF0082" w14:paraId="08FBF964" w14:textId="0A4012A3" w:rsidTr="0082745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6C105B26" w14:textId="2D6435F8" w:rsidR="005C3BF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ϕ</m:t>
                    </m:r>
                  </m:e>
                  <m:sub>
                    <m:sSub>
                      <m:sSubPr>
                        <m:ctrlPr>
                          <w:rPr>
                            <w:rFonts w:ascii="Cambria Math" w:hAnsi="Cambria Math"/>
                            <w:noProof/>
                            <w:lang w:val="en-GB"/>
                          </w:rPr>
                        </m:ctrlPr>
                      </m:sSubPr>
                      <m:e>
                        <m:r>
                          <m:rPr>
                            <m:sty m:val="bi"/>
                          </m:rPr>
                          <w:rPr>
                            <w:rFonts w:ascii="Cambria Math" w:hAnsi="Cambria Math"/>
                            <w:noProof/>
                            <w:lang w:val="en-GB"/>
                          </w:rPr>
                          <m:t>R</m:t>
                        </m:r>
                      </m:e>
                      <m:sub>
                        <m:r>
                          <m:rPr>
                            <m:sty m:val="bi"/>
                          </m:rPr>
                          <w:rPr>
                            <w:rFonts w:ascii="Cambria Math" w:hAnsi="Cambria Math"/>
                            <w:noProof/>
                            <w:lang w:val="en-GB"/>
                          </w:rPr>
                          <m:t>h</m:t>
                        </m:r>
                      </m:sub>
                    </m:sSub>
                  </m:sub>
                </m:sSub>
              </m:oMath>
            </m:oMathPara>
          </w:p>
        </w:tc>
        <w:tc>
          <w:tcPr>
            <w:tcW w:w="1559" w:type="dxa"/>
            <w:tcBorders>
              <w:top w:val="nil"/>
              <w:bottom w:val="nil"/>
            </w:tcBorders>
            <w:shd w:val="clear" w:color="auto" w:fill="auto"/>
            <w:noWrap/>
            <w:vAlign w:val="center"/>
          </w:tcPr>
          <w:p w14:paraId="4A85B744" w14:textId="3E462D52" w:rsidR="005C3BF6" w:rsidRPr="00BF0082" w:rsidRDefault="00C16EB1" w:rsidP="0082745D">
            <w:pPr>
              <w:pStyle w:val="NoSpacing"/>
              <w:cnfStyle w:val="000000100000" w:firstRow="0" w:lastRow="0" w:firstColumn="0" w:lastColumn="0" w:oddVBand="0" w:evenVBand="0" w:oddHBand="1" w:evenHBand="0" w:firstRowFirstColumn="0" w:firstRowLastColumn="0" w:lastRowFirstColumn="0" w:lastRowLastColumn="0"/>
              <w:rPr>
                <w:noProof/>
                <w:color w:val="000000"/>
                <w:lang w:val="en-GB"/>
              </w:rPr>
            </w:pPr>
            <m:oMathPara>
              <m:oMathParaPr>
                <m:jc m:val="left"/>
              </m:oMathParaPr>
              <m:oMath>
                <m:sSup>
                  <m:sSupPr>
                    <m:ctrlPr>
                      <w:rPr>
                        <w:rFonts w:ascii="Cambria Math" w:hAnsi="Cambria Math"/>
                        <w:noProof/>
                        <w:lang w:val="en-GB"/>
                      </w:rPr>
                    </m:ctrlPr>
                  </m:sSupPr>
                  <m:e>
                    <m:r>
                      <m:rPr>
                        <m:nor/>
                      </m:rPr>
                      <w:rPr>
                        <w:noProof/>
                        <w:lang w:val="en-GB"/>
                      </w:rPr>
                      <m:t>m</m:t>
                    </m:r>
                  </m:e>
                  <m:sup>
                    <m:r>
                      <m:rPr>
                        <m:sty m:val="p"/>
                      </m:rPr>
                      <w:rPr>
                        <w:rFonts w:ascii="Cambria Math" w:hAnsi="Cambria Math"/>
                        <w:noProof/>
                        <w:lang w:val="en-GB"/>
                      </w:rPr>
                      <m:t>3</m:t>
                    </m:r>
                  </m:sup>
                </m:sSup>
                <m:r>
                  <m:rPr>
                    <m:nor/>
                  </m:rPr>
                  <w:rPr>
                    <w:noProof/>
                    <w:lang w:val="en-GB"/>
                  </w:rPr>
                  <m:t>·</m:t>
                </m:r>
                <m:sSup>
                  <m:sSupPr>
                    <m:ctrlPr>
                      <w:rPr>
                        <w:rFonts w:ascii="Cambria Math" w:hAnsi="Cambria Math"/>
                        <w:noProof/>
                        <w:lang w:val="en-GB"/>
                      </w:rPr>
                    </m:ctrlPr>
                  </m:sSupPr>
                  <m:e>
                    <m:r>
                      <m:rPr>
                        <m:nor/>
                      </m:rPr>
                      <w:rPr>
                        <w:noProof/>
                        <w:lang w:val="en-GB"/>
                      </w:rPr>
                      <m:t>kg</m:t>
                    </m:r>
                  </m:e>
                  <m:sup>
                    <m:r>
                      <m:rPr>
                        <m:nor/>
                      </m:rPr>
                      <w:rPr>
                        <w:noProof/>
                        <w:lang w:val="en-GB"/>
                      </w:rPr>
                      <m:t>–2/3</m:t>
                    </m:r>
                  </m:sup>
                </m:sSup>
                <m:r>
                  <m:rPr>
                    <m:nor/>
                  </m:rPr>
                  <w:rPr>
                    <w:noProof/>
                    <w:lang w:val="en-GB"/>
                  </w:rPr>
                  <m:t>·</m:t>
                </m:r>
                <m:sSup>
                  <m:sSupPr>
                    <m:ctrlPr>
                      <w:rPr>
                        <w:rFonts w:ascii="Cambria Math" w:hAnsi="Cambria Math"/>
                        <w:noProof/>
                        <w:lang w:val="en-GB"/>
                      </w:rPr>
                    </m:ctrlPr>
                  </m:sSupPr>
                  <m:e>
                    <m:r>
                      <m:rPr>
                        <m:nor/>
                      </m:rPr>
                      <w:rPr>
                        <w:noProof/>
                        <w:lang w:val="en-GB"/>
                      </w:rPr>
                      <m:t>day</m:t>
                    </m:r>
                  </m:e>
                  <m:sup>
                    <m:r>
                      <m:rPr>
                        <m:sty m:val="p"/>
                      </m:rPr>
                      <w:rPr>
                        <w:rFonts w:ascii="Cambria Math" w:hAnsi="Cambria Math"/>
                        <w:noProof/>
                        <w:lang w:val="en-GB"/>
                      </w:rPr>
                      <m:t>-1</m:t>
                    </m:r>
                  </m:sup>
                </m:sSup>
              </m:oMath>
            </m:oMathPara>
          </w:p>
        </w:tc>
        <w:tc>
          <w:tcPr>
            <w:tcW w:w="3402" w:type="dxa"/>
            <w:tcBorders>
              <w:top w:val="nil"/>
              <w:bottom w:val="nil"/>
            </w:tcBorders>
            <w:shd w:val="clear" w:color="auto" w:fill="auto"/>
            <w:noWrap/>
            <w:vAlign w:val="center"/>
          </w:tcPr>
          <w:p w14:paraId="06D48C4A" w14:textId="52CB6E7E" w:rsidR="005C3BF6" w:rsidRPr="00BF0082" w:rsidRDefault="005C3BF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Prey encounter rate </w:t>
            </w:r>
            <w:r w:rsidR="00B60D66" w:rsidRPr="00BF0082">
              <w:rPr>
                <w:noProof/>
                <w:lang w:val="en-GB"/>
              </w:rPr>
              <w:t>high quality</w:t>
            </w:r>
          </w:p>
        </w:tc>
        <w:tc>
          <w:tcPr>
            <w:tcW w:w="992" w:type="dxa"/>
            <w:tcBorders>
              <w:top w:val="nil"/>
              <w:bottom w:val="nil"/>
            </w:tcBorders>
            <w:vAlign w:val="center"/>
          </w:tcPr>
          <w:p w14:paraId="37BF402C" w14:textId="1E9198A0" w:rsidR="005C3BF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5.0</w:t>
            </w:r>
          </w:p>
        </w:tc>
        <w:tc>
          <w:tcPr>
            <w:tcW w:w="992" w:type="dxa"/>
            <w:tcBorders>
              <w:top w:val="nil"/>
              <w:bottom w:val="nil"/>
            </w:tcBorders>
            <w:vAlign w:val="center"/>
          </w:tcPr>
          <w:p w14:paraId="3F0DA190" w14:textId="34E377A1" w:rsidR="005C3BF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13.3</w:t>
            </w:r>
          </w:p>
        </w:tc>
        <w:tc>
          <w:tcPr>
            <w:tcW w:w="1422" w:type="dxa"/>
            <w:tcBorders>
              <w:top w:val="nil"/>
              <w:bottom w:val="nil"/>
            </w:tcBorders>
            <w:vAlign w:val="center"/>
          </w:tcPr>
          <w:p w14:paraId="5717B362" w14:textId="1130C4E5" w:rsidR="005C3BF6" w:rsidRPr="00BF0082" w:rsidRDefault="00A31A83"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8, 9</w:t>
            </w:r>
          </w:p>
        </w:tc>
      </w:tr>
      <w:tr w:rsidR="00B60D66" w:rsidRPr="00BF0082" w14:paraId="4D7E1224" w14:textId="77777777" w:rsidTr="0082745D">
        <w:trPr>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5C44F26D" w14:textId="4E3E59A7" w:rsidR="00B60D6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ϕ</m:t>
                    </m:r>
                  </m:e>
                  <m:sub>
                    <m:sSub>
                      <m:sSubPr>
                        <m:ctrlPr>
                          <w:rPr>
                            <w:rFonts w:ascii="Cambria Math" w:hAnsi="Cambria Math"/>
                            <w:noProof/>
                            <w:lang w:val="en-GB"/>
                          </w:rPr>
                        </m:ctrlPr>
                      </m:sSubPr>
                      <m:e>
                        <m:r>
                          <m:rPr>
                            <m:sty m:val="bi"/>
                          </m:rPr>
                          <w:rPr>
                            <w:rFonts w:ascii="Cambria Math" w:hAnsi="Cambria Math"/>
                            <w:noProof/>
                            <w:lang w:val="en-GB"/>
                          </w:rPr>
                          <m:t>R</m:t>
                        </m:r>
                      </m:e>
                      <m:sub>
                        <m:r>
                          <m:rPr>
                            <m:sty m:val="bi"/>
                          </m:rPr>
                          <w:rPr>
                            <w:rFonts w:ascii="Cambria Math" w:hAnsi="Cambria Math"/>
                            <w:noProof/>
                            <w:lang w:val="en-GB"/>
                          </w:rPr>
                          <m:t>l</m:t>
                        </m:r>
                      </m:sub>
                    </m:sSub>
                  </m:sub>
                </m:sSub>
              </m:oMath>
            </m:oMathPara>
          </w:p>
        </w:tc>
        <w:tc>
          <w:tcPr>
            <w:tcW w:w="1559" w:type="dxa"/>
            <w:tcBorders>
              <w:top w:val="nil"/>
              <w:bottom w:val="nil"/>
            </w:tcBorders>
            <w:shd w:val="clear" w:color="auto" w:fill="auto"/>
            <w:noWrap/>
            <w:vAlign w:val="center"/>
          </w:tcPr>
          <w:p w14:paraId="5C1535E8" w14:textId="272E7A7B" w:rsidR="00B60D66" w:rsidRPr="00BF0082" w:rsidRDefault="00C16EB1"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
                <m:sSup>
                  <m:sSupPr>
                    <m:ctrlPr>
                      <w:rPr>
                        <w:rFonts w:ascii="Cambria Math" w:hAnsi="Cambria Math"/>
                        <w:noProof/>
                        <w:lang w:val="en-GB"/>
                      </w:rPr>
                    </m:ctrlPr>
                  </m:sSupPr>
                  <m:e>
                    <m:r>
                      <m:rPr>
                        <m:nor/>
                      </m:rPr>
                      <w:rPr>
                        <w:noProof/>
                        <w:lang w:val="en-GB"/>
                      </w:rPr>
                      <m:t>m</m:t>
                    </m:r>
                  </m:e>
                  <m:sup>
                    <m:r>
                      <m:rPr>
                        <m:sty m:val="p"/>
                      </m:rPr>
                      <w:rPr>
                        <w:rFonts w:ascii="Cambria Math" w:hAnsi="Cambria Math"/>
                        <w:noProof/>
                        <w:lang w:val="en-GB"/>
                      </w:rPr>
                      <m:t>3</m:t>
                    </m:r>
                  </m:sup>
                </m:sSup>
                <m:r>
                  <m:rPr>
                    <m:nor/>
                  </m:rPr>
                  <w:rPr>
                    <w:noProof/>
                    <w:lang w:val="en-GB"/>
                  </w:rPr>
                  <m:t>·</m:t>
                </m:r>
                <m:sSup>
                  <m:sSupPr>
                    <m:ctrlPr>
                      <w:rPr>
                        <w:rFonts w:ascii="Cambria Math" w:hAnsi="Cambria Math"/>
                        <w:noProof/>
                        <w:lang w:val="en-GB"/>
                      </w:rPr>
                    </m:ctrlPr>
                  </m:sSupPr>
                  <m:e>
                    <m:r>
                      <m:rPr>
                        <m:nor/>
                      </m:rPr>
                      <w:rPr>
                        <w:noProof/>
                        <w:lang w:val="en-GB"/>
                      </w:rPr>
                      <m:t>kg</m:t>
                    </m:r>
                  </m:e>
                  <m:sup>
                    <m:r>
                      <m:rPr>
                        <m:nor/>
                      </m:rPr>
                      <w:rPr>
                        <w:noProof/>
                        <w:lang w:val="en-GB"/>
                      </w:rPr>
                      <m:t>–2/3</m:t>
                    </m:r>
                  </m:sup>
                </m:sSup>
                <m:r>
                  <m:rPr>
                    <m:nor/>
                  </m:rPr>
                  <w:rPr>
                    <w:noProof/>
                    <w:lang w:val="en-GB"/>
                  </w:rPr>
                  <m:t>·</m:t>
                </m:r>
                <m:sSup>
                  <m:sSupPr>
                    <m:ctrlPr>
                      <w:rPr>
                        <w:rFonts w:ascii="Cambria Math" w:hAnsi="Cambria Math"/>
                        <w:noProof/>
                        <w:lang w:val="en-GB"/>
                      </w:rPr>
                    </m:ctrlPr>
                  </m:sSupPr>
                  <m:e>
                    <m:r>
                      <m:rPr>
                        <m:nor/>
                      </m:rPr>
                      <w:rPr>
                        <w:noProof/>
                        <w:lang w:val="en-GB"/>
                      </w:rPr>
                      <m:t>day</m:t>
                    </m:r>
                  </m:e>
                  <m:sup>
                    <m:r>
                      <m:rPr>
                        <m:sty m:val="p"/>
                      </m:rPr>
                      <w:rPr>
                        <w:rFonts w:ascii="Cambria Math" w:hAnsi="Cambria Math"/>
                        <w:noProof/>
                        <w:lang w:val="en-GB"/>
                      </w:rPr>
                      <m:t>-1</m:t>
                    </m:r>
                  </m:sup>
                </m:sSup>
              </m:oMath>
            </m:oMathPara>
          </w:p>
        </w:tc>
        <w:tc>
          <w:tcPr>
            <w:tcW w:w="3402" w:type="dxa"/>
            <w:tcBorders>
              <w:top w:val="nil"/>
              <w:bottom w:val="nil"/>
            </w:tcBorders>
            <w:shd w:val="clear" w:color="auto" w:fill="auto"/>
            <w:noWrap/>
            <w:vAlign w:val="center"/>
          </w:tcPr>
          <w:p w14:paraId="34C1FE37" w14:textId="59DA5CBC"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Prey encounter rate low quality</w:t>
            </w:r>
          </w:p>
        </w:tc>
        <w:tc>
          <w:tcPr>
            <w:tcW w:w="992" w:type="dxa"/>
            <w:tcBorders>
              <w:top w:val="nil"/>
              <w:bottom w:val="nil"/>
            </w:tcBorders>
            <w:vAlign w:val="center"/>
          </w:tcPr>
          <w:p w14:paraId="11426444" w14:textId="2A482B9D"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1.0</w:t>
            </w:r>
          </w:p>
        </w:tc>
        <w:tc>
          <w:tcPr>
            <w:tcW w:w="992" w:type="dxa"/>
            <w:tcBorders>
              <w:top w:val="nil"/>
              <w:bottom w:val="nil"/>
            </w:tcBorders>
            <w:vAlign w:val="center"/>
          </w:tcPr>
          <w:p w14:paraId="3B0D47D7" w14:textId="41E2EE04"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1.0</w:t>
            </w:r>
          </w:p>
        </w:tc>
        <w:tc>
          <w:tcPr>
            <w:tcW w:w="1422" w:type="dxa"/>
            <w:tcBorders>
              <w:top w:val="nil"/>
              <w:bottom w:val="nil"/>
            </w:tcBorders>
            <w:vAlign w:val="center"/>
          </w:tcPr>
          <w:p w14:paraId="0789D35C" w14:textId="77C65785" w:rsidR="00B60D66" w:rsidRPr="00BF0082" w:rsidRDefault="00A31A83"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this study</w:t>
            </w:r>
          </w:p>
        </w:tc>
      </w:tr>
      <w:tr w:rsidR="00B60D66" w:rsidRPr="00BF0082" w14:paraId="62E67866" w14:textId="43498AF9" w:rsidTr="0082745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459B3045" w14:textId="412657E3" w:rsidR="00B60D6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ϕ</m:t>
                    </m:r>
                  </m:e>
                  <m:sub>
                    <m:r>
                      <m:rPr>
                        <m:sty m:val="bi"/>
                      </m:rPr>
                      <w:rPr>
                        <w:rFonts w:ascii="Cambria Math" w:hAnsi="Cambria Math"/>
                        <w:noProof/>
                        <w:lang w:val="en-GB"/>
                      </w:rPr>
                      <m:t>L</m:t>
                    </m:r>
                  </m:sub>
                </m:sSub>
              </m:oMath>
            </m:oMathPara>
          </w:p>
        </w:tc>
        <w:tc>
          <w:tcPr>
            <w:tcW w:w="1559" w:type="dxa"/>
            <w:tcBorders>
              <w:top w:val="nil"/>
              <w:bottom w:val="nil"/>
            </w:tcBorders>
            <w:shd w:val="clear" w:color="auto" w:fill="auto"/>
            <w:noWrap/>
            <w:vAlign w:val="center"/>
          </w:tcPr>
          <w:p w14:paraId="6D9790B8" w14:textId="77777777" w:rsidR="00B60D66" w:rsidRPr="00BF0082" w:rsidRDefault="00B60D6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r>
                  <m:rPr>
                    <m:nor/>
                  </m:rPr>
                  <w:rPr>
                    <w:noProof/>
                    <w:lang w:val="en-GB"/>
                  </w:rPr>
                  <m:t>MJ·</m:t>
                </m:r>
                <m:sSup>
                  <m:sSupPr>
                    <m:ctrlPr>
                      <w:rPr>
                        <w:rFonts w:ascii="Cambria Math" w:hAnsi="Cambria Math"/>
                        <w:i/>
                        <w:noProof/>
                        <w:lang w:val="en-GB"/>
                      </w:rPr>
                    </m:ctrlPr>
                  </m:sSupPr>
                  <m:e>
                    <m:r>
                      <m:rPr>
                        <m:nor/>
                      </m:rPr>
                      <w:rPr>
                        <w:noProof/>
                        <w:lang w:val="en-GB"/>
                      </w:rPr>
                      <m:t>kg</m:t>
                    </m:r>
                  </m:e>
                  <m:sup>
                    <m:r>
                      <m:rPr>
                        <m:nor/>
                      </m:rPr>
                      <w:rPr>
                        <w:noProof/>
                        <w:lang w:val="en-GB"/>
                      </w:rPr>
                      <m:t>–2/3</m:t>
                    </m:r>
                  </m:sup>
                </m:sSup>
                <m:r>
                  <m:rPr>
                    <m:nor/>
                  </m:rPr>
                  <w:rPr>
                    <w:noProof/>
                    <w:lang w:val="en-GB"/>
                  </w:rPr>
                  <m:t>·</m:t>
                </m:r>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tcPr>
          <w:p w14:paraId="6A97D1E3"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Lactation scalar </w:t>
            </w:r>
          </w:p>
        </w:tc>
        <w:tc>
          <w:tcPr>
            <w:tcW w:w="992" w:type="dxa"/>
            <w:tcBorders>
              <w:top w:val="nil"/>
              <w:bottom w:val="nil"/>
            </w:tcBorders>
            <w:vAlign w:val="center"/>
          </w:tcPr>
          <w:p w14:paraId="26B2B414"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2.1</w:t>
            </w:r>
          </w:p>
        </w:tc>
        <w:tc>
          <w:tcPr>
            <w:tcW w:w="992" w:type="dxa"/>
            <w:tcBorders>
              <w:top w:val="nil"/>
              <w:bottom w:val="nil"/>
            </w:tcBorders>
            <w:vAlign w:val="center"/>
          </w:tcPr>
          <w:p w14:paraId="30B3202F"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2.6</w:t>
            </w:r>
          </w:p>
        </w:tc>
        <w:tc>
          <w:tcPr>
            <w:tcW w:w="1422" w:type="dxa"/>
            <w:tcBorders>
              <w:top w:val="nil"/>
              <w:bottom w:val="nil"/>
            </w:tcBorders>
            <w:vAlign w:val="center"/>
          </w:tcPr>
          <w:p w14:paraId="77653A29" w14:textId="4C021CFC" w:rsidR="00B60D66" w:rsidRPr="00BF0082" w:rsidRDefault="00E808D9"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this study</w:t>
            </w:r>
          </w:p>
        </w:tc>
      </w:tr>
      <w:tr w:rsidR="001A217E" w:rsidRPr="00BF0082" w14:paraId="6D46811E" w14:textId="77777777" w:rsidTr="001A217E">
        <w:trPr>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7005CF27" w14:textId="5B60E643" w:rsidR="001A217E" w:rsidRPr="001A217E" w:rsidRDefault="001A217E" w:rsidP="001A217E">
            <w:pPr>
              <w:pStyle w:val="NoSpacing"/>
              <w:jc w:val="both"/>
              <w:rPr>
                <w:rFonts w:eastAsia="Calibri"/>
                <w:b w:val="0"/>
                <w:noProof/>
                <w:lang w:val="en-GB"/>
              </w:rPr>
            </w:pPr>
            <m:oMathPara>
              <m:oMathParaPr>
                <m:jc m:val="left"/>
              </m:oMathParaPr>
              <m:oMath>
                <m:r>
                  <m:rPr>
                    <m:sty m:val="bi"/>
                  </m:rPr>
                  <w:rPr>
                    <w:rFonts w:ascii="Cambria Math" w:hAnsi="Cambria Math"/>
                    <w:noProof/>
                    <w:lang w:val="en-GB"/>
                  </w:rPr>
                  <m:t>h</m:t>
                </m:r>
              </m:oMath>
            </m:oMathPara>
          </w:p>
        </w:tc>
        <w:tc>
          <w:tcPr>
            <w:tcW w:w="1559" w:type="dxa"/>
            <w:tcBorders>
              <w:top w:val="nil"/>
              <w:bottom w:val="nil"/>
            </w:tcBorders>
            <w:shd w:val="clear" w:color="auto" w:fill="auto"/>
            <w:noWrap/>
            <w:vAlign w:val="center"/>
          </w:tcPr>
          <w:p w14:paraId="29E8ED1A" w14:textId="4C24755E" w:rsidR="001A217E" w:rsidRPr="00BF0082" w:rsidRDefault="001A217E"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
                <m:r>
                  <m:rPr>
                    <m:nor/>
                  </m:rPr>
                  <w:rPr>
                    <w:noProof/>
                    <w:lang w:val="en-GB"/>
                  </w:rPr>
                  <m:t>day·</m:t>
                </m:r>
                <m:sSup>
                  <m:sSupPr>
                    <m:ctrlPr>
                      <w:rPr>
                        <w:rFonts w:ascii="Cambria Math" w:hAnsi="Cambria Math"/>
                        <w:i/>
                        <w:noProof/>
                        <w:lang w:val="en-GB"/>
                      </w:rPr>
                    </m:ctrlPr>
                  </m:sSupPr>
                  <m:e>
                    <m:r>
                      <m:rPr>
                        <m:nor/>
                      </m:rPr>
                      <w:rPr>
                        <w:noProof/>
                        <w:lang w:val="en-GB"/>
                      </w:rPr>
                      <m:t>kg</m:t>
                    </m:r>
                  </m:e>
                  <m:sup>
                    <m:r>
                      <m:rPr>
                        <m:nor/>
                      </m:rPr>
                      <w:rPr>
                        <w:noProof/>
                        <w:lang w:val="en-GB"/>
                      </w:rPr>
                      <m:t>2/3</m:t>
                    </m:r>
                  </m:sup>
                </m:sSup>
                <m:sSup>
                  <m:sSupPr>
                    <m:ctrlPr>
                      <w:rPr>
                        <w:rFonts w:ascii="Cambria Math" w:hAnsi="Cambria Math"/>
                        <w:i/>
                        <w:noProof/>
                        <w:lang w:val="en-GB"/>
                      </w:rPr>
                    </m:ctrlPr>
                  </m:sSupPr>
                  <m:e>
                    <m:r>
                      <m:rPr>
                        <m:nor/>
                      </m:rPr>
                      <w:rPr>
                        <w:noProof/>
                        <w:lang w:val="en-GB"/>
                      </w:rPr>
                      <m:t>MJ</m:t>
                    </m:r>
                  </m:e>
                  <m:sup>
                    <m:r>
                      <m:rPr>
                        <m:nor/>
                      </m:rPr>
                      <w:rPr>
                        <w:noProof/>
                        <w:lang w:val="en-GB"/>
                      </w:rPr>
                      <m:t>–1</m:t>
                    </m:r>
                  </m:sup>
                </m:sSup>
              </m:oMath>
            </m:oMathPara>
          </w:p>
        </w:tc>
        <w:tc>
          <w:tcPr>
            <w:tcW w:w="3402" w:type="dxa"/>
            <w:tcBorders>
              <w:top w:val="nil"/>
              <w:bottom w:val="nil"/>
            </w:tcBorders>
            <w:shd w:val="clear" w:color="auto" w:fill="auto"/>
            <w:noWrap/>
            <w:vAlign w:val="center"/>
          </w:tcPr>
          <w:p w14:paraId="67DCC181" w14:textId="2AFB790B" w:rsidR="001A217E" w:rsidRPr="00BF0082" w:rsidRDefault="004C429A"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Handling time parameter of type II functional response</w:t>
            </w:r>
          </w:p>
        </w:tc>
        <w:tc>
          <w:tcPr>
            <w:tcW w:w="992" w:type="dxa"/>
            <w:tcBorders>
              <w:top w:val="nil"/>
              <w:bottom w:val="nil"/>
            </w:tcBorders>
            <w:vAlign w:val="center"/>
          </w:tcPr>
          <w:p w14:paraId="1AF86182" w14:textId="3509F9C3" w:rsidR="001A217E" w:rsidRPr="00BF0082" w:rsidRDefault="004C429A"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0.141</w:t>
            </w:r>
          </w:p>
        </w:tc>
        <w:tc>
          <w:tcPr>
            <w:tcW w:w="992" w:type="dxa"/>
            <w:tcBorders>
              <w:top w:val="nil"/>
              <w:bottom w:val="nil"/>
            </w:tcBorders>
            <w:vAlign w:val="center"/>
          </w:tcPr>
          <w:p w14:paraId="45C1846E" w14:textId="5B345830" w:rsidR="001A217E" w:rsidRPr="00BF0082" w:rsidRDefault="004C429A"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0.141</w:t>
            </w:r>
          </w:p>
        </w:tc>
        <w:tc>
          <w:tcPr>
            <w:tcW w:w="1422" w:type="dxa"/>
            <w:tcBorders>
              <w:top w:val="nil"/>
              <w:bottom w:val="nil"/>
            </w:tcBorders>
            <w:vAlign w:val="center"/>
          </w:tcPr>
          <w:p w14:paraId="2C023F63" w14:textId="2D3382CD" w:rsidR="001A217E" w:rsidRDefault="00521EE3"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8,</w:t>
            </w:r>
            <w:r w:rsidR="006C2FAF">
              <w:rPr>
                <w:noProof/>
                <w:lang w:val="en-GB"/>
              </w:rPr>
              <w:t xml:space="preserve"> 10</w:t>
            </w:r>
            <w:r>
              <w:rPr>
                <w:noProof/>
                <w:lang w:val="en-GB"/>
              </w:rPr>
              <w:t xml:space="preserve"> </w:t>
            </w:r>
          </w:p>
        </w:tc>
      </w:tr>
      <w:tr w:rsidR="00B60D66" w:rsidRPr="00BF0082" w14:paraId="14EFCCA6" w14:textId="01753095" w:rsidTr="0082745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3EA5CC47" w14:textId="4C630E49" w:rsidR="00B60D66" w:rsidRPr="002510F2" w:rsidRDefault="002510F2" w:rsidP="0082745D">
            <w:pPr>
              <w:pStyle w:val="NoSpacing"/>
              <w:rPr>
                <w:noProof/>
                <w:lang w:val="en-GB"/>
              </w:rPr>
            </w:pPr>
            <m:oMathPara>
              <m:oMathParaPr>
                <m:jc m:val="left"/>
              </m:oMathParaPr>
              <m:oMath>
                <m:r>
                  <m:rPr>
                    <m:sty m:val="bi"/>
                  </m:rPr>
                  <w:rPr>
                    <w:rFonts w:ascii="Cambria Math" w:hAnsi="Cambria Math"/>
                    <w:noProof/>
                    <w:lang w:val="en-GB"/>
                  </w:rPr>
                  <m:t>η</m:t>
                </m:r>
              </m:oMath>
            </m:oMathPara>
          </w:p>
        </w:tc>
        <w:tc>
          <w:tcPr>
            <w:tcW w:w="1559" w:type="dxa"/>
            <w:tcBorders>
              <w:top w:val="nil"/>
              <w:bottom w:val="nil"/>
            </w:tcBorders>
            <w:shd w:val="clear" w:color="auto" w:fill="auto"/>
            <w:noWrap/>
            <w:vAlign w:val="center"/>
            <w:hideMark/>
          </w:tcPr>
          <w:p w14:paraId="799A96DB" w14:textId="77777777" w:rsidR="00B60D66" w:rsidRPr="00BF0082" w:rsidRDefault="00B60D6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w:t>
            </w:r>
          </w:p>
        </w:tc>
        <w:tc>
          <w:tcPr>
            <w:tcW w:w="3402" w:type="dxa"/>
            <w:tcBorders>
              <w:top w:val="nil"/>
              <w:bottom w:val="nil"/>
            </w:tcBorders>
            <w:shd w:val="clear" w:color="auto" w:fill="auto"/>
            <w:noWrap/>
            <w:vAlign w:val="center"/>
            <w:hideMark/>
          </w:tcPr>
          <w:p w14:paraId="3A9A524F"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Steepness of assimilation response around target body condition </w:t>
            </w:r>
          </w:p>
        </w:tc>
        <w:tc>
          <w:tcPr>
            <w:tcW w:w="992" w:type="dxa"/>
            <w:tcBorders>
              <w:top w:val="nil"/>
              <w:bottom w:val="nil"/>
            </w:tcBorders>
            <w:vAlign w:val="center"/>
          </w:tcPr>
          <w:p w14:paraId="3CBA1422"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15</w:t>
            </w:r>
          </w:p>
        </w:tc>
        <w:tc>
          <w:tcPr>
            <w:tcW w:w="992" w:type="dxa"/>
            <w:tcBorders>
              <w:top w:val="nil"/>
              <w:bottom w:val="nil"/>
            </w:tcBorders>
            <w:vAlign w:val="center"/>
          </w:tcPr>
          <w:p w14:paraId="49A33331"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15</w:t>
            </w:r>
          </w:p>
        </w:tc>
        <w:tc>
          <w:tcPr>
            <w:tcW w:w="1422" w:type="dxa"/>
            <w:tcBorders>
              <w:top w:val="nil"/>
              <w:bottom w:val="nil"/>
            </w:tcBorders>
            <w:vAlign w:val="center"/>
          </w:tcPr>
          <w:p w14:paraId="07D57702" w14:textId="492F2056" w:rsidR="00B60D66" w:rsidRPr="00BF0082" w:rsidRDefault="00AD69F2"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3</w:t>
            </w:r>
          </w:p>
        </w:tc>
      </w:tr>
      <w:tr w:rsidR="00B60D66" w:rsidRPr="00BF0082" w14:paraId="6AEE4953" w14:textId="23434805" w:rsidTr="0082745D">
        <w:trPr>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4E8ABAB8" w14:textId="09B9E55F" w:rsidR="00B60D66" w:rsidRPr="002510F2" w:rsidRDefault="002510F2" w:rsidP="0082745D">
            <w:pPr>
              <w:pStyle w:val="NoSpacing"/>
              <w:rPr>
                <w:noProof/>
                <w:lang w:val="en-GB"/>
              </w:rPr>
            </w:pPr>
            <m:oMathPara>
              <m:oMathParaPr>
                <m:jc m:val="left"/>
              </m:oMathParaPr>
              <m:oMath>
                <m:r>
                  <m:rPr>
                    <m:sty m:val="bi"/>
                  </m:rPr>
                  <w:rPr>
                    <w:rFonts w:ascii="Cambria Math" w:hAnsi="Cambria Math"/>
                    <w:noProof/>
                    <w:lang w:val="en-GB"/>
                  </w:rPr>
                  <m:t>γ</m:t>
                </m:r>
              </m:oMath>
            </m:oMathPara>
          </w:p>
        </w:tc>
        <w:tc>
          <w:tcPr>
            <w:tcW w:w="1559" w:type="dxa"/>
            <w:tcBorders>
              <w:top w:val="nil"/>
              <w:bottom w:val="nil"/>
            </w:tcBorders>
            <w:shd w:val="clear" w:color="auto" w:fill="auto"/>
            <w:noWrap/>
            <w:vAlign w:val="center"/>
            <w:hideMark/>
          </w:tcPr>
          <w:p w14:paraId="3B2A0A72" w14:textId="77777777" w:rsidR="00B60D66" w:rsidRPr="00BF0082" w:rsidRDefault="00B60D66"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 xml:space="preserve">– </w:t>
            </w:r>
          </w:p>
        </w:tc>
        <w:tc>
          <w:tcPr>
            <w:tcW w:w="3402" w:type="dxa"/>
            <w:tcBorders>
              <w:top w:val="nil"/>
              <w:bottom w:val="nil"/>
            </w:tcBorders>
            <w:shd w:val="clear" w:color="auto" w:fill="auto"/>
            <w:noWrap/>
            <w:vAlign w:val="center"/>
            <w:hideMark/>
          </w:tcPr>
          <w:p w14:paraId="56DF9CF1"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 xml:space="preserve">Shape parameter of prey assimilation-age response </w:t>
            </w:r>
          </w:p>
        </w:tc>
        <w:tc>
          <w:tcPr>
            <w:tcW w:w="992" w:type="dxa"/>
            <w:tcBorders>
              <w:top w:val="nil"/>
              <w:bottom w:val="nil"/>
            </w:tcBorders>
            <w:vAlign w:val="center"/>
          </w:tcPr>
          <w:p w14:paraId="71021CDA"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2</w:t>
            </w:r>
          </w:p>
        </w:tc>
        <w:tc>
          <w:tcPr>
            <w:tcW w:w="992" w:type="dxa"/>
            <w:tcBorders>
              <w:top w:val="nil"/>
              <w:bottom w:val="nil"/>
            </w:tcBorders>
            <w:vAlign w:val="center"/>
          </w:tcPr>
          <w:p w14:paraId="7919B980"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2</w:t>
            </w:r>
          </w:p>
        </w:tc>
        <w:tc>
          <w:tcPr>
            <w:tcW w:w="1422" w:type="dxa"/>
            <w:tcBorders>
              <w:top w:val="nil"/>
              <w:bottom w:val="nil"/>
            </w:tcBorders>
            <w:vAlign w:val="center"/>
          </w:tcPr>
          <w:p w14:paraId="672EA0F2" w14:textId="2FF86207" w:rsidR="00B60D66" w:rsidRPr="00BF0082" w:rsidRDefault="00AD69F2"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3</w:t>
            </w:r>
          </w:p>
        </w:tc>
      </w:tr>
      <w:tr w:rsidR="00B60D66" w:rsidRPr="00BF0082" w14:paraId="6C30254C" w14:textId="02E16428" w:rsidTr="0082745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527FEFA9" w14:textId="0BAE2276" w:rsidR="00B60D6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ξ</m:t>
                    </m:r>
                  </m:e>
                  <m:sub>
                    <m:r>
                      <m:rPr>
                        <m:sty m:val="bi"/>
                      </m:rPr>
                      <w:rPr>
                        <w:rFonts w:ascii="Cambria Math" w:hAnsi="Cambria Math"/>
                        <w:noProof/>
                        <w:lang w:val="en-GB"/>
                      </w:rPr>
                      <m:t>m</m:t>
                    </m:r>
                  </m:sub>
                </m:sSub>
              </m:oMath>
            </m:oMathPara>
          </w:p>
        </w:tc>
        <w:tc>
          <w:tcPr>
            <w:tcW w:w="1559" w:type="dxa"/>
            <w:tcBorders>
              <w:top w:val="nil"/>
              <w:bottom w:val="nil"/>
            </w:tcBorders>
            <w:shd w:val="clear" w:color="auto" w:fill="auto"/>
            <w:noWrap/>
            <w:vAlign w:val="center"/>
            <w:hideMark/>
          </w:tcPr>
          <w:p w14:paraId="1119FFA3" w14:textId="77777777" w:rsidR="00B60D66" w:rsidRPr="00BF0082" w:rsidRDefault="00B60D6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w:t>
            </w:r>
          </w:p>
        </w:tc>
        <w:tc>
          <w:tcPr>
            <w:tcW w:w="3402" w:type="dxa"/>
            <w:tcBorders>
              <w:top w:val="nil"/>
              <w:bottom w:val="nil"/>
            </w:tcBorders>
            <w:shd w:val="clear" w:color="auto" w:fill="auto"/>
            <w:noWrap/>
            <w:vAlign w:val="center"/>
            <w:hideMark/>
          </w:tcPr>
          <w:p w14:paraId="2D70D081"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Non-linearity in female body condition-milk provisioning relation</w:t>
            </w:r>
          </w:p>
        </w:tc>
        <w:tc>
          <w:tcPr>
            <w:tcW w:w="992" w:type="dxa"/>
            <w:tcBorders>
              <w:top w:val="nil"/>
              <w:bottom w:val="nil"/>
            </w:tcBorders>
            <w:vAlign w:val="center"/>
          </w:tcPr>
          <w:p w14:paraId="62EF9B26"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 –2</w:t>
            </w:r>
          </w:p>
        </w:tc>
        <w:tc>
          <w:tcPr>
            <w:tcW w:w="992" w:type="dxa"/>
            <w:tcBorders>
              <w:top w:val="nil"/>
              <w:bottom w:val="nil"/>
            </w:tcBorders>
            <w:vAlign w:val="center"/>
          </w:tcPr>
          <w:p w14:paraId="1D1FE8BC"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–2 </w:t>
            </w:r>
          </w:p>
        </w:tc>
        <w:tc>
          <w:tcPr>
            <w:tcW w:w="1422" w:type="dxa"/>
            <w:tcBorders>
              <w:top w:val="nil"/>
              <w:bottom w:val="nil"/>
            </w:tcBorders>
            <w:vAlign w:val="center"/>
          </w:tcPr>
          <w:p w14:paraId="1BCC1478" w14:textId="66D577C3" w:rsidR="00B60D66" w:rsidRPr="00BF0082" w:rsidRDefault="00AD69F2"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3</w:t>
            </w:r>
          </w:p>
        </w:tc>
      </w:tr>
      <w:tr w:rsidR="00B60D66" w:rsidRPr="00BF0082" w14:paraId="4A8A8317" w14:textId="7F3A1370" w:rsidTr="0082745D">
        <w:trPr>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0E13CCDF" w14:textId="2EFFB178" w:rsidR="00B60D6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ξ</m:t>
                    </m:r>
                  </m:e>
                  <m:sub>
                    <m:r>
                      <m:rPr>
                        <m:sty m:val="bi"/>
                      </m:rPr>
                      <w:rPr>
                        <w:rFonts w:ascii="Cambria Math" w:hAnsi="Cambria Math"/>
                        <w:noProof/>
                        <w:lang w:val="en-GB"/>
                      </w:rPr>
                      <m:t>c</m:t>
                    </m:r>
                  </m:sub>
                </m:sSub>
              </m:oMath>
            </m:oMathPara>
          </w:p>
        </w:tc>
        <w:tc>
          <w:tcPr>
            <w:tcW w:w="1559" w:type="dxa"/>
            <w:tcBorders>
              <w:top w:val="nil"/>
              <w:bottom w:val="nil"/>
            </w:tcBorders>
            <w:shd w:val="clear" w:color="auto" w:fill="auto"/>
            <w:noWrap/>
            <w:vAlign w:val="center"/>
            <w:hideMark/>
          </w:tcPr>
          <w:p w14:paraId="28A74F05" w14:textId="77777777" w:rsidR="00B60D66" w:rsidRPr="00BF0082" w:rsidRDefault="00B60D66"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w:t>
            </w:r>
          </w:p>
        </w:tc>
        <w:tc>
          <w:tcPr>
            <w:tcW w:w="3402" w:type="dxa"/>
            <w:tcBorders>
              <w:top w:val="nil"/>
              <w:bottom w:val="nil"/>
            </w:tcBorders>
            <w:shd w:val="clear" w:color="auto" w:fill="auto"/>
            <w:noWrap/>
            <w:vAlign w:val="center"/>
            <w:hideMark/>
          </w:tcPr>
          <w:p w14:paraId="358F3BA6"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 xml:space="preserve">Non-linearity in milk assimilation-calve age relation </w:t>
            </w:r>
          </w:p>
        </w:tc>
        <w:tc>
          <w:tcPr>
            <w:tcW w:w="992" w:type="dxa"/>
            <w:tcBorders>
              <w:top w:val="nil"/>
              <w:bottom w:val="nil"/>
            </w:tcBorders>
            <w:vAlign w:val="center"/>
          </w:tcPr>
          <w:p w14:paraId="5FD7DF99"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0.25</w:t>
            </w:r>
          </w:p>
        </w:tc>
        <w:tc>
          <w:tcPr>
            <w:tcW w:w="992" w:type="dxa"/>
            <w:tcBorders>
              <w:top w:val="nil"/>
              <w:bottom w:val="nil"/>
            </w:tcBorders>
            <w:vAlign w:val="center"/>
          </w:tcPr>
          <w:p w14:paraId="77A9DCDA"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0.25</w:t>
            </w:r>
          </w:p>
        </w:tc>
        <w:tc>
          <w:tcPr>
            <w:tcW w:w="1422" w:type="dxa"/>
            <w:tcBorders>
              <w:top w:val="nil"/>
              <w:bottom w:val="nil"/>
            </w:tcBorders>
            <w:vAlign w:val="center"/>
          </w:tcPr>
          <w:p w14:paraId="7208AA58" w14:textId="0F207EBA" w:rsidR="00B60D66" w:rsidRPr="00BF0082" w:rsidRDefault="00AD69F2"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this study</w:t>
            </w:r>
          </w:p>
        </w:tc>
      </w:tr>
      <w:tr w:rsidR="00B60D66" w:rsidRPr="00BF0082" w14:paraId="4F6F049D" w14:textId="517BD925" w:rsidTr="008274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3ED3F8C6" w14:textId="5D1A8766" w:rsidR="00B60D66" w:rsidRPr="002510F2" w:rsidRDefault="00C16EB1" w:rsidP="0082745D">
            <w:pPr>
              <w:pStyle w:val="NoSpacing"/>
              <w:rPr>
                <w:noProof/>
                <w:color w:val="000000"/>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σ</m:t>
                    </m:r>
                  </m:e>
                  <m:sub>
                    <m:r>
                      <m:rPr>
                        <m:sty m:val="bi"/>
                      </m:rPr>
                      <w:rPr>
                        <w:rFonts w:ascii="Cambria Math" w:hAnsi="Cambria Math"/>
                        <w:noProof/>
                        <w:lang w:val="en-GB"/>
                      </w:rPr>
                      <m:t>M</m:t>
                    </m:r>
                  </m:sub>
                </m:sSub>
              </m:oMath>
            </m:oMathPara>
          </w:p>
        </w:tc>
        <w:tc>
          <w:tcPr>
            <w:tcW w:w="1559" w:type="dxa"/>
            <w:tcBorders>
              <w:top w:val="nil"/>
              <w:bottom w:val="nil"/>
            </w:tcBorders>
            <w:shd w:val="clear" w:color="auto" w:fill="auto"/>
            <w:noWrap/>
            <w:vAlign w:val="center"/>
            <w:hideMark/>
          </w:tcPr>
          <w:p w14:paraId="64FBA197" w14:textId="77777777" w:rsidR="00B60D66" w:rsidRPr="00BF0082" w:rsidRDefault="00B60D6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r>
                  <m:rPr>
                    <m:nor/>
                  </m:rPr>
                  <w:rPr>
                    <w:noProof/>
                    <w:lang w:val="en-GB"/>
                  </w:rPr>
                  <m:t>MJ·</m:t>
                </m:r>
                <m:sSup>
                  <m:sSupPr>
                    <m:ctrlPr>
                      <w:rPr>
                        <w:rFonts w:ascii="Cambria Math" w:hAnsi="Cambria Math"/>
                        <w:i/>
                        <w:noProof/>
                        <w:lang w:val="en-GB"/>
                      </w:rPr>
                    </m:ctrlPr>
                  </m:sSupPr>
                  <m:e>
                    <m:r>
                      <m:rPr>
                        <m:nor/>
                      </m:rPr>
                      <w:rPr>
                        <w:noProof/>
                        <w:lang w:val="en-GB"/>
                      </w:rPr>
                      <m:t>kg</m:t>
                    </m:r>
                  </m:e>
                  <m:sup>
                    <m:r>
                      <m:rPr>
                        <m:nor/>
                      </m:rPr>
                      <w:rPr>
                        <w:noProof/>
                        <w:lang w:val="en-GB"/>
                      </w:rPr>
                      <m:t>–3/4</m:t>
                    </m:r>
                  </m:sup>
                </m:sSup>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hideMark/>
          </w:tcPr>
          <w:p w14:paraId="2472F9A5"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Field metabolic rate scalar </w:t>
            </w:r>
          </w:p>
        </w:tc>
        <w:tc>
          <w:tcPr>
            <w:tcW w:w="992" w:type="dxa"/>
            <w:tcBorders>
              <w:top w:val="nil"/>
              <w:bottom w:val="nil"/>
            </w:tcBorders>
            <w:vAlign w:val="center"/>
          </w:tcPr>
          <w:p w14:paraId="4FEC32CA"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0.6</w:t>
            </w:r>
          </w:p>
        </w:tc>
        <w:tc>
          <w:tcPr>
            <w:tcW w:w="992" w:type="dxa"/>
            <w:tcBorders>
              <w:top w:val="nil"/>
              <w:bottom w:val="nil"/>
            </w:tcBorders>
            <w:vAlign w:val="center"/>
          </w:tcPr>
          <w:p w14:paraId="3365475A"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0.6</w:t>
            </w:r>
          </w:p>
        </w:tc>
        <w:tc>
          <w:tcPr>
            <w:tcW w:w="1422" w:type="dxa"/>
            <w:tcBorders>
              <w:top w:val="nil"/>
              <w:bottom w:val="nil"/>
            </w:tcBorders>
            <w:vAlign w:val="center"/>
          </w:tcPr>
          <w:p w14:paraId="17463EEE" w14:textId="1A8CC96D" w:rsidR="00B60D66" w:rsidRPr="00BF0082" w:rsidRDefault="004707D5"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this study</w:t>
            </w:r>
          </w:p>
        </w:tc>
      </w:tr>
      <w:tr w:rsidR="00B60D66" w:rsidRPr="00BF0082" w14:paraId="37E82F91" w14:textId="7CE8E5CE" w:rsidTr="0082745D">
        <w:trPr>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7110C85C" w14:textId="67F578E3" w:rsidR="00B60D66" w:rsidRPr="002510F2" w:rsidRDefault="00C16EB1" w:rsidP="0082745D">
            <w:pPr>
              <w:pStyle w:val="NoSpacing"/>
              <w:rPr>
                <w:noProof/>
                <w:color w:val="000000"/>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σ</m:t>
                    </m:r>
                  </m:e>
                  <m:sub>
                    <m:r>
                      <m:rPr>
                        <m:sty m:val="bi"/>
                      </m:rPr>
                      <w:rPr>
                        <w:rFonts w:ascii="Cambria Math" w:hAnsi="Cambria Math"/>
                        <w:noProof/>
                        <w:lang w:val="en-GB"/>
                      </w:rPr>
                      <m:t>G</m:t>
                    </m:r>
                  </m:sub>
                </m:sSub>
              </m:oMath>
            </m:oMathPara>
          </w:p>
        </w:tc>
        <w:tc>
          <w:tcPr>
            <w:tcW w:w="1559" w:type="dxa"/>
            <w:tcBorders>
              <w:top w:val="nil"/>
              <w:bottom w:val="nil"/>
            </w:tcBorders>
            <w:shd w:val="clear" w:color="auto" w:fill="auto"/>
            <w:noWrap/>
            <w:vAlign w:val="center"/>
            <w:hideMark/>
          </w:tcPr>
          <w:p w14:paraId="2BE35CA5" w14:textId="77777777" w:rsidR="00B60D66" w:rsidRPr="00BF0082" w:rsidRDefault="00B60D66"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ParaPr>
                <m:jc m:val="left"/>
              </m:oMathParaPr>
              <m:oMath>
                <m:r>
                  <m:rPr>
                    <m:nor/>
                  </m:rPr>
                  <w:rPr>
                    <w:noProof/>
                    <w:lang w:val="en-GB"/>
                  </w:rPr>
                  <m:t>MJ·</m:t>
                </m:r>
                <m:sSup>
                  <m:sSupPr>
                    <m:ctrlPr>
                      <w:rPr>
                        <w:rFonts w:ascii="Cambria Math" w:hAnsi="Cambria Math"/>
                        <w:i/>
                        <w:noProof/>
                        <w:lang w:val="en-GB"/>
                      </w:rPr>
                    </m:ctrlPr>
                  </m:sSupPr>
                  <m:e>
                    <m:r>
                      <m:rPr>
                        <m:nor/>
                      </m:rPr>
                      <w:rPr>
                        <w:noProof/>
                        <w:lang w:val="en-GB"/>
                      </w:rPr>
                      <m:t>kg</m:t>
                    </m:r>
                  </m:e>
                  <m:sup>
                    <m:r>
                      <m:rPr>
                        <m:nor/>
                      </m:rPr>
                      <w:rPr>
                        <w:noProof/>
                        <w:lang w:val="en-GB"/>
                      </w:rPr>
                      <m:t>–1</m:t>
                    </m:r>
                  </m:sup>
                </m:sSup>
              </m:oMath>
            </m:oMathPara>
          </w:p>
        </w:tc>
        <w:tc>
          <w:tcPr>
            <w:tcW w:w="3402" w:type="dxa"/>
            <w:tcBorders>
              <w:top w:val="nil"/>
              <w:bottom w:val="nil"/>
            </w:tcBorders>
            <w:shd w:val="clear" w:color="auto" w:fill="auto"/>
            <w:noWrap/>
            <w:vAlign w:val="center"/>
            <w:hideMark/>
          </w:tcPr>
          <w:p w14:paraId="4C65FD15"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 xml:space="preserve">Energetic costs per unit structural mass growth </w:t>
            </w:r>
          </w:p>
        </w:tc>
        <w:tc>
          <w:tcPr>
            <w:tcW w:w="992" w:type="dxa"/>
            <w:tcBorders>
              <w:top w:val="nil"/>
              <w:bottom w:val="nil"/>
            </w:tcBorders>
            <w:vAlign w:val="center"/>
          </w:tcPr>
          <w:p w14:paraId="5C1224D7"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20</w:t>
            </w:r>
          </w:p>
        </w:tc>
        <w:tc>
          <w:tcPr>
            <w:tcW w:w="992" w:type="dxa"/>
            <w:tcBorders>
              <w:top w:val="nil"/>
              <w:bottom w:val="nil"/>
            </w:tcBorders>
            <w:vAlign w:val="center"/>
          </w:tcPr>
          <w:p w14:paraId="3F1C3348" w14:textId="299B2B1E" w:rsidR="00B60D66" w:rsidRPr="00BF0082" w:rsidRDefault="007A4D38"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20</w:t>
            </w:r>
          </w:p>
        </w:tc>
        <w:tc>
          <w:tcPr>
            <w:tcW w:w="1422" w:type="dxa"/>
            <w:tcBorders>
              <w:top w:val="nil"/>
              <w:bottom w:val="nil"/>
            </w:tcBorders>
            <w:vAlign w:val="center"/>
          </w:tcPr>
          <w:p w14:paraId="0DC51CA1" w14:textId="788D8BB0" w:rsidR="00B60D66" w:rsidRPr="00BF0082" w:rsidRDefault="00262ADD"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this study</w:t>
            </w:r>
          </w:p>
        </w:tc>
      </w:tr>
      <w:tr w:rsidR="00B60D66" w:rsidRPr="00BF0082" w14:paraId="400F53BA" w14:textId="5DE80BA7" w:rsidTr="008274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6175A26B" w14:textId="1EE14C32" w:rsidR="00B60D66" w:rsidRPr="002510F2" w:rsidRDefault="00C16EB1" w:rsidP="0082745D">
            <w:pPr>
              <w:pStyle w:val="NoSpacing"/>
              <w:rPr>
                <w:noProof/>
                <w:color w:val="000000"/>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σ</m:t>
                    </m:r>
                  </m:e>
                  <m:sub>
                    <m:r>
                      <m:rPr>
                        <m:sty m:val="bi"/>
                      </m:rPr>
                      <w:rPr>
                        <w:rFonts w:ascii="Cambria Math" w:hAnsi="Cambria Math"/>
                        <w:noProof/>
                        <w:lang w:val="en-GB"/>
                      </w:rPr>
                      <m:t>L</m:t>
                    </m:r>
                  </m:sub>
                </m:sSub>
              </m:oMath>
            </m:oMathPara>
          </w:p>
        </w:tc>
        <w:tc>
          <w:tcPr>
            <w:tcW w:w="1559" w:type="dxa"/>
            <w:tcBorders>
              <w:top w:val="nil"/>
              <w:bottom w:val="nil"/>
            </w:tcBorders>
            <w:shd w:val="clear" w:color="auto" w:fill="auto"/>
            <w:noWrap/>
            <w:vAlign w:val="center"/>
            <w:hideMark/>
          </w:tcPr>
          <w:p w14:paraId="78E4CD6A" w14:textId="77777777" w:rsidR="00B60D66" w:rsidRPr="00BF0082" w:rsidRDefault="00B60D6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w:t>
            </w:r>
          </w:p>
        </w:tc>
        <w:tc>
          <w:tcPr>
            <w:tcW w:w="3402" w:type="dxa"/>
            <w:tcBorders>
              <w:top w:val="nil"/>
              <w:bottom w:val="nil"/>
            </w:tcBorders>
            <w:shd w:val="clear" w:color="auto" w:fill="auto"/>
            <w:noWrap/>
            <w:vAlign w:val="center"/>
            <w:hideMark/>
          </w:tcPr>
          <w:p w14:paraId="7CA966F2"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Lactation conversion efficiency</w:t>
            </w:r>
          </w:p>
        </w:tc>
        <w:tc>
          <w:tcPr>
            <w:tcW w:w="992" w:type="dxa"/>
            <w:tcBorders>
              <w:top w:val="nil"/>
              <w:bottom w:val="nil"/>
            </w:tcBorders>
            <w:vAlign w:val="center"/>
          </w:tcPr>
          <w:p w14:paraId="5791D851"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0.86</w:t>
            </w:r>
          </w:p>
        </w:tc>
        <w:tc>
          <w:tcPr>
            <w:tcW w:w="992" w:type="dxa"/>
            <w:tcBorders>
              <w:top w:val="nil"/>
              <w:bottom w:val="nil"/>
            </w:tcBorders>
            <w:vAlign w:val="center"/>
          </w:tcPr>
          <w:p w14:paraId="11247E56"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0.86</w:t>
            </w:r>
          </w:p>
        </w:tc>
        <w:tc>
          <w:tcPr>
            <w:tcW w:w="1422" w:type="dxa"/>
            <w:tcBorders>
              <w:top w:val="nil"/>
              <w:bottom w:val="nil"/>
            </w:tcBorders>
            <w:vAlign w:val="center"/>
          </w:tcPr>
          <w:p w14:paraId="2A13E43B" w14:textId="5105DA1F" w:rsidR="00B60D66" w:rsidRPr="00BF0082" w:rsidRDefault="00262ADD"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3</w:t>
            </w:r>
          </w:p>
        </w:tc>
      </w:tr>
      <w:tr w:rsidR="00B60D66" w:rsidRPr="00BF0082" w14:paraId="7D7681B9" w14:textId="582767C0" w:rsidTr="0082745D">
        <w:trPr>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270BE009" w14:textId="5BD46B32" w:rsidR="00B60D66" w:rsidRPr="002510F2" w:rsidRDefault="00C16EB1" w:rsidP="0082745D">
            <w:pPr>
              <w:pStyle w:val="NoSpacing"/>
              <w:rPr>
                <w:noProof/>
                <w:color w:val="000000"/>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α</m:t>
                    </m:r>
                  </m:e>
                  <m:sub>
                    <m:r>
                      <m:rPr>
                        <m:sty m:val="b"/>
                      </m:rPr>
                      <w:rPr>
                        <w:rFonts w:ascii="Cambria Math" w:hAnsi="Cambria Math"/>
                        <w:noProof/>
                        <w:lang w:val="en-GB"/>
                      </w:rPr>
                      <m:t>1</m:t>
                    </m:r>
                  </m:sub>
                </m:sSub>
              </m:oMath>
            </m:oMathPara>
          </w:p>
        </w:tc>
        <w:tc>
          <w:tcPr>
            <w:tcW w:w="1559" w:type="dxa"/>
            <w:tcBorders>
              <w:top w:val="nil"/>
              <w:bottom w:val="nil"/>
            </w:tcBorders>
            <w:shd w:val="clear" w:color="auto" w:fill="auto"/>
            <w:noWrap/>
            <w:vAlign w:val="center"/>
            <w:hideMark/>
          </w:tcPr>
          <w:p w14:paraId="0D9E8E77" w14:textId="77777777" w:rsidR="00B60D66" w:rsidRPr="00BF0082" w:rsidRDefault="00C16EB1"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ParaPr>
                <m:jc m:val="left"/>
              </m:oMathParaPr>
              <m:oMath>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hideMark/>
          </w:tcPr>
          <w:p w14:paraId="16CC32DD"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Mortality parameter females &amp; calves</w:t>
            </w:r>
          </w:p>
        </w:tc>
        <w:tc>
          <w:tcPr>
            <w:tcW w:w="992" w:type="dxa"/>
            <w:tcBorders>
              <w:top w:val="nil"/>
              <w:bottom w:val="nil"/>
            </w:tcBorders>
            <w:vAlign w:val="center"/>
          </w:tcPr>
          <w:p w14:paraId="40CC8E93"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4.01·10</w:t>
            </w:r>
            <w:r w:rsidRPr="00BF0082">
              <w:rPr>
                <w:noProof/>
                <w:vertAlign w:val="superscript"/>
                <w:lang w:val="en-GB"/>
              </w:rPr>
              <w:t>–4</w:t>
            </w:r>
          </w:p>
        </w:tc>
        <w:tc>
          <w:tcPr>
            <w:tcW w:w="992" w:type="dxa"/>
            <w:tcBorders>
              <w:top w:val="nil"/>
              <w:bottom w:val="nil"/>
            </w:tcBorders>
            <w:vAlign w:val="center"/>
          </w:tcPr>
          <w:p w14:paraId="028683AF"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4.01·10</w:t>
            </w:r>
            <w:r w:rsidRPr="00BF0082">
              <w:rPr>
                <w:noProof/>
                <w:vertAlign w:val="superscript"/>
                <w:lang w:val="en-GB"/>
              </w:rPr>
              <w:t>–4</w:t>
            </w:r>
          </w:p>
        </w:tc>
        <w:tc>
          <w:tcPr>
            <w:tcW w:w="1422" w:type="dxa"/>
            <w:tcBorders>
              <w:top w:val="nil"/>
              <w:bottom w:val="nil"/>
            </w:tcBorders>
            <w:vAlign w:val="center"/>
          </w:tcPr>
          <w:p w14:paraId="7AC4130D" w14:textId="40185B2C" w:rsidR="00B60D66" w:rsidRPr="00BF0082" w:rsidRDefault="008E1383"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3</w:t>
            </w:r>
          </w:p>
        </w:tc>
      </w:tr>
      <w:tr w:rsidR="00B60D66" w:rsidRPr="00BF0082" w14:paraId="7CEE9AE4" w14:textId="4F1BE5EA" w:rsidTr="008274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465B9C68" w14:textId="12D53568" w:rsidR="00B60D66" w:rsidRPr="002510F2" w:rsidRDefault="00C16EB1" w:rsidP="0082745D">
            <w:pPr>
              <w:pStyle w:val="NoSpacing"/>
              <w:rPr>
                <w:noProof/>
                <w:color w:val="000000"/>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β</m:t>
                    </m:r>
                  </m:e>
                  <m:sub>
                    <m:r>
                      <m:rPr>
                        <m:sty m:val="b"/>
                      </m:rPr>
                      <w:rPr>
                        <w:rFonts w:ascii="Cambria Math" w:hAnsi="Cambria Math"/>
                        <w:noProof/>
                        <w:lang w:val="en-GB"/>
                      </w:rPr>
                      <m:t>1</m:t>
                    </m:r>
                  </m:sub>
                </m:sSub>
              </m:oMath>
            </m:oMathPara>
          </w:p>
        </w:tc>
        <w:tc>
          <w:tcPr>
            <w:tcW w:w="1559" w:type="dxa"/>
            <w:tcBorders>
              <w:top w:val="nil"/>
              <w:bottom w:val="nil"/>
            </w:tcBorders>
            <w:shd w:val="clear" w:color="auto" w:fill="auto"/>
            <w:noWrap/>
            <w:vAlign w:val="center"/>
            <w:hideMark/>
          </w:tcPr>
          <w:p w14:paraId="438C1879" w14:textId="77777777" w:rsidR="00B60D66" w:rsidRPr="00BF0082" w:rsidRDefault="00C16EB1"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hideMark/>
          </w:tcPr>
          <w:p w14:paraId="7093B9DD"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Mortality parameter females &amp; calves</w:t>
            </w:r>
          </w:p>
        </w:tc>
        <w:tc>
          <w:tcPr>
            <w:tcW w:w="992" w:type="dxa"/>
            <w:tcBorders>
              <w:top w:val="nil"/>
              <w:bottom w:val="nil"/>
            </w:tcBorders>
            <w:vAlign w:val="center"/>
          </w:tcPr>
          <w:p w14:paraId="4B05D544"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5.82·10</w:t>
            </w:r>
            <w:r w:rsidRPr="00BF0082">
              <w:rPr>
                <w:noProof/>
                <w:vertAlign w:val="superscript"/>
                <w:lang w:val="en-GB"/>
              </w:rPr>
              <w:t>–4</w:t>
            </w:r>
          </w:p>
        </w:tc>
        <w:tc>
          <w:tcPr>
            <w:tcW w:w="992" w:type="dxa"/>
            <w:tcBorders>
              <w:top w:val="nil"/>
              <w:bottom w:val="nil"/>
            </w:tcBorders>
            <w:vAlign w:val="center"/>
          </w:tcPr>
          <w:p w14:paraId="39D35EF4"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5.82·10</w:t>
            </w:r>
            <w:r w:rsidRPr="00BF0082">
              <w:rPr>
                <w:noProof/>
                <w:vertAlign w:val="superscript"/>
                <w:lang w:val="en-GB"/>
              </w:rPr>
              <w:t>–4</w:t>
            </w:r>
          </w:p>
        </w:tc>
        <w:tc>
          <w:tcPr>
            <w:tcW w:w="1422" w:type="dxa"/>
            <w:tcBorders>
              <w:top w:val="nil"/>
              <w:bottom w:val="nil"/>
            </w:tcBorders>
            <w:vAlign w:val="center"/>
          </w:tcPr>
          <w:p w14:paraId="7C501626" w14:textId="016E792F" w:rsidR="00B60D66" w:rsidRPr="00BF0082" w:rsidRDefault="008E1383"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3</w:t>
            </w:r>
          </w:p>
        </w:tc>
      </w:tr>
      <w:tr w:rsidR="00B60D66" w:rsidRPr="00BF0082" w14:paraId="3286E388" w14:textId="276EAF56" w:rsidTr="0082745D">
        <w:trPr>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68B91E61" w14:textId="6EC4F1F2" w:rsidR="00B60D66" w:rsidRPr="002510F2" w:rsidRDefault="00C16EB1" w:rsidP="0082745D">
            <w:pPr>
              <w:pStyle w:val="NoSpacing"/>
              <w:rPr>
                <w:noProof/>
                <w:color w:val="000000"/>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α</m:t>
                    </m:r>
                  </m:e>
                  <m:sub>
                    <m:r>
                      <m:rPr>
                        <m:sty m:val="b"/>
                      </m:rPr>
                      <w:rPr>
                        <w:rFonts w:ascii="Cambria Math" w:hAnsi="Cambria Math"/>
                        <w:noProof/>
                        <w:lang w:val="en-GB"/>
                      </w:rPr>
                      <m:t>2</m:t>
                    </m:r>
                  </m:sub>
                </m:sSub>
              </m:oMath>
            </m:oMathPara>
          </w:p>
        </w:tc>
        <w:tc>
          <w:tcPr>
            <w:tcW w:w="1559" w:type="dxa"/>
            <w:tcBorders>
              <w:top w:val="nil"/>
              <w:bottom w:val="nil"/>
            </w:tcBorders>
            <w:shd w:val="clear" w:color="auto" w:fill="auto"/>
            <w:noWrap/>
            <w:vAlign w:val="center"/>
            <w:hideMark/>
          </w:tcPr>
          <w:p w14:paraId="20CF4B54" w14:textId="77777777" w:rsidR="00B60D66" w:rsidRPr="00BF0082" w:rsidRDefault="00C16EB1"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ParaPr>
                <m:jc m:val="left"/>
              </m:oMathParaPr>
              <m:oMath>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hideMark/>
          </w:tcPr>
          <w:p w14:paraId="4B89920F"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Mortality parameter females &amp; calves</w:t>
            </w:r>
          </w:p>
        </w:tc>
        <w:tc>
          <w:tcPr>
            <w:tcW w:w="992" w:type="dxa"/>
            <w:tcBorders>
              <w:top w:val="nil"/>
              <w:bottom w:val="nil"/>
            </w:tcBorders>
            <w:vAlign w:val="center"/>
          </w:tcPr>
          <w:p w14:paraId="79BEAF12"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6.04·10</w:t>
            </w:r>
            <w:r w:rsidRPr="00BF0082">
              <w:rPr>
                <w:noProof/>
                <w:vertAlign w:val="superscript"/>
                <w:lang w:val="en-GB"/>
              </w:rPr>
              <w:t>–6</w:t>
            </w:r>
          </w:p>
        </w:tc>
        <w:tc>
          <w:tcPr>
            <w:tcW w:w="992" w:type="dxa"/>
            <w:tcBorders>
              <w:top w:val="nil"/>
              <w:bottom w:val="nil"/>
            </w:tcBorders>
            <w:vAlign w:val="center"/>
          </w:tcPr>
          <w:p w14:paraId="234F413F"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6.04·10</w:t>
            </w:r>
            <w:r w:rsidRPr="00BF0082">
              <w:rPr>
                <w:noProof/>
                <w:vertAlign w:val="superscript"/>
                <w:lang w:val="en-GB"/>
              </w:rPr>
              <w:t>–6</w:t>
            </w:r>
          </w:p>
        </w:tc>
        <w:tc>
          <w:tcPr>
            <w:tcW w:w="1422" w:type="dxa"/>
            <w:tcBorders>
              <w:top w:val="nil"/>
              <w:bottom w:val="nil"/>
            </w:tcBorders>
            <w:vAlign w:val="center"/>
          </w:tcPr>
          <w:p w14:paraId="5C492FB6" w14:textId="062BBD85" w:rsidR="00B60D66" w:rsidRPr="00BF0082" w:rsidRDefault="008E1383"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3</w:t>
            </w:r>
          </w:p>
        </w:tc>
      </w:tr>
      <w:tr w:rsidR="00B60D66" w:rsidRPr="00BF0082" w14:paraId="4ACBE29C" w14:textId="7EB83F2B" w:rsidTr="008274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7BD3A37B" w14:textId="28B3CB7C" w:rsidR="00B60D66" w:rsidRPr="002510F2" w:rsidRDefault="00C16EB1" w:rsidP="0082745D">
            <w:pPr>
              <w:pStyle w:val="NoSpacing"/>
              <w:rPr>
                <w:noProof/>
                <w:color w:val="000000"/>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β</m:t>
                    </m:r>
                  </m:e>
                  <m:sub>
                    <m:r>
                      <m:rPr>
                        <m:sty m:val="b"/>
                      </m:rPr>
                      <w:rPr>
                        <w:rFonts w:ascii="Cambria Math" w:hAnsi="Cambria Math"/>
                        <w:noProof/>
                        <w:lang w:val="en-GB"/>
                      </w:rPr>
                      <m:t>2</m:t>
                    </m:r>
                  </m:sub>
                </m:sSub>
              </m:oMath>
            </m:oMathPara>
          </w:p>
        </w:tc>
        <w:tc>
          <w:tcPr>
            <w:tcW w:w="1559" w:type="dxa"/>
            <w:tcBorders>
              <w:top w:val="nil"/>
              <w:bottom w:val="nil"/>
            </w:tcBorders>
            <w:shd w:val="clear" w:color="auto" w:fill="auto"/>
            <w:noWrap/>
            <w:vAlign w:val="center"/>
            <w:hideMark/>
          </w:tcPr>
          <w:p w14:paraId="0133A60A" w14:textId="77777777" w:rsidR="00B60D66" w:rsidRPr="00BF0082" w:rsidRDefault="00C16EB1"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hideMark/>
          </w:tcPr>
          <w:p w14:paraId="357586F4"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Mortality parameter females &amp; calves</w:t>
            </w:r>
          </w:p>
        </w:tc>
        <w:tc>
          <w:tcPr>
            <w:tcW w:w="992" w:type="dxa"/>
            <w:tcBorders>
              <w:top w:val="nil"/>
              <w:bottom w:val="nil"/>
            </w:tcBorders>
            <w:vAlign w:val="center"/>
          </w:tcPr>
          <w:p w14:paraId="08C0E6CC"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3.01·10</w:t>
            </w:r>
            <w:r w:rsidRPr="00BF0082">
              <w:rPr>
                <w:noProof/>
                <w:vertAlign w:val="superscript"/>
                <w:lang w:val="en-GB"/>
              </w:rPr>
              <w:t>–4</w:t>
            </w:r>
          </w:p>
        </w:tc>
        <w:tc>
          <w:tcPr>
            <w:tcW w:w="992" w:type="dxa"/>
            <w:tcBorders>
              <w:top w:val="nil"/>
              <w:bottom w:val="nil"/>
            </w:tcBorders>
            <w:vAlign w:val="center"/>
          </w:tcPr>
          <w:p w14:paraId="6B62DD2C"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3.01·10</w:t>
            </w:r>
            <w:r w:rsidRPr="00BF0082">
              <w:rPr>
                <w:noProof/>
                <w:vertAlign w:val="superscript"/>
                <w:lang w:val="en-GB"/>
              </w:rPr>
              <w:t>–4</w:t>
            </w:r>
          </w:p>
        </w:tc>
        <w:tc>
          <w:tcPr>
            <w:tcW w:w="1422" w:type="dxa"/>
            <w:tcBorders>
              <w:top w:val="nil"/>
              <w:bottom w:val="nil"/>
            </w:tcBorders>
            <w:vAlign w:val="center"/>
          </w:tcPr>
          <w:p w14:paraId="7D5C3D98" w14:textId="571248B2" w:rsidR="00B60D66" w:rsidRPr="00BF0082" w:rsidRDefault="008E1383"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3</w:t>
            </w:r>
          </w:p>
        </w:tc>
      </w:tr>
      <w:tr w:rsidR="00B60D66" w:rsidRPr="00BF0082" w14:paraId="377DAC10" w14:textId="56B3DC7D" w:rsidTr="0082745D">
        <w:trPr>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0AC15DCE" w14:textId="16E1A9C9" w:rsidR="00B60D6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μ</m:t>
                    </m:r>
                  </m:e>
                  <m:sub>
                    <m:r>
                      <m:rPr>
                        <m:sty m:val="bi"/>
                      </m:rPr>
                      <w:rPr>
                        <w:rFonts w:ascii="Cambria Math" w:hAnsi="Cambria Math"/>
                        <w:noProof/>
                        <w:lang w:val="en-GB"/>
                      </w:rPr>
                      <m:t>male</m:t>
                    </m:r>
                  </m:sub>
                </m:sSub>
              </m:oMath>
            </m:oMathPara>
          </w:p>
        </w:tc>
        <w:tc>
          <w:tcPr>
            <w:tcW w:w="1559" w:type="dxa"/>
            <w:tcBorders>
              <w:top w:val="nil"/>
              <w:bottom w:val="nil"/>
            </w:tcBorders>
            <w:shd w:val="clear" w:color="auto" w:fill="auto"/>
            <w:noWrap/>
            <w:vAlign w:val="center"/>
          </w:tcPr>
          <w:p w14:paraId="3738673A" w14:textId="77777777" w:rsidR="00B60D66" w:rsidRPr="00BF0082" w:rsidRDefault="00C16EB1"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ParaPr>
                <m:jc m:val="left"/>
              </m:oMathParaPr>
              <m:oMath>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tcPr>
          <w:p w14:paraId="09DCE92D"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Mortality parameter males</w:t>
            </w:r>
          </w:p>
        </w:tc>
        <w:tc>
          <w:tcPr>
            <w:tcW w:w="992" w:type="dxa"/>
            <w:tcBorders>
              <w:top w:val="nil"/>
              <w:bottom w:val="nil"/>
            </w:tcBorders>
            <w:vAlign w:val="center"/>
          </w:tcPr>
          <w:p w14:paraId="00F35468"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2.13·10</w:t>
            </w:r>
            <w:r w:rsidRPr="00BF0082">
              <w:rPr>
                <w:noProof/>
                <w:vertAlign w:val="superscript"/>
                <w:lang w:val="en-GB"/>
              </w:rPr>
              <w:t>-4</w:t>
            </w:r>
          </w:p>
        </w:tc>
        <w:tc>
          <w:tcPr>
            <w:tcW w:w="992" w:type="dxa"/>
            <w:tcBorders>
              <w:top w:val="nil"/>
              <w:bottom w:val="nil"/>
            </w:tcBorders>
            <w:vAlign w:val="center"/>
          </w:tcPr>
          <w:p w14:paraId="11F9CEC2"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2.13·10</w:t>
            </w:r>
            <w:r w:rsidRPr="00BF0082">
              <w:rPr>
                <w:noProof/>
                <w:vertAlign w:val="superscript"/>
                <w:lang w:val="en-GB"/>
              </w:rPr>
              <w:t>-4</w:t>
            </w:r>
          </w:p>
        </w:tc>
        <w:tc>
          <w:tcPr>
            <w:tcW w:w="1422" w:type="dxa"/>
            <w:tcBorders>
              <w:top w:val="nil"/>
              <w:bottom w:val="nil"/>
            </w:tcBorders>
            <w:vAlign w:val="center"/>
          </w:tcPr>
          <w:p w14:paraId="4D1E9362" w14:textId="737BAE88" w:rsidR="00B60D66" w:rsidRPr="00BF0082" w:rsidRDefault="008E1383"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3</w:t>
            </w:r>
          </w:p>
        </w:tc>
      </w:tr>
      <w:tr w:rsidR="00B60D66" w:rsidRPr="00BF0082" w14:paraId="1039ABFC" w14:textId="2908E6A0" w:rsidTr="008274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6B3EC102" w14:textId="1B709BCB" w:rsidR="00B60D66" w:rsidRPr="002510F2" w:rsidRDefault="00C16EB1" w:rsidP="0082745D">
            <w:pPr>
              <w:pStyle w:val="NoSpacing"/>
              <w:rPr>
                <w:noProof/>
                <w:color w:val="000000"/>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μ</m:t>
                    </m:r>
                  </m:e>
                  <m:sub>
                    <m:r>
                      <m:rPr>
                        <m:sty m:val="bi"/>
                      </m:rPr>
                      <w:rPr>
                        <w:rFonts w:ascii="Cambria Math" w:hAnsi="Cambria Math"/>
                        <w:noProof/>
                        <w:lang w:val="en-GB"/>
                      </w:rPr>
                      <m:t>s</m:t>
                    </m:r>
                  </m:sub>
                </m:sSub>
              </m:oMath>
            </m:oMathPara>
          </w:p>
        </w:tc>
        <w:tc>
          <w:tcPr>
            <w:tcW w:w="1559" w:type="dxa"/>
            <w:tcBorders>
              <w:top w:val="nil"/>
              <w:bottom w:val="nil"/>
            </w:tcBorders>
            <w:shd w:val="clear" w:color="auto" w:fill="auto"/>
            <w:noWrap/>
            <w:vAlign w:val="center"/>
            <w:hideMark/>
          </w:tcPr>
          <w:p w14:paraId="617F4E21" w14:textId="77777777" w:rsidR="00B60D66" w:rsidRPr="00BF0082" w:rsidRDefault="00C16EB1"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hideMark/>
          </w:tcPr>
          <w:p w14:paraId="6BE5311C"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Starvation mortality scalar </w:t>
            </w:r>
          </w:p>
        </w:tc>
        <w:tc>
          <w:tcPr>
            <w:tcW w:w="992" w:type="dxa"/>
            <w:tcBorders>
              <w:top w:val="nil"/>
              <w:bottom w:val="nil"/>
            </w:tcBorders>
            <w:vAlign w:val="center"/>
          </w:tcPr>
          <w:p w14:paraId="77FE022B"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0.2</w:t>
            </w:r>
          </w:p>
        </w:tc>
        <w:tc>
          <w:tcPr>
            <w:tcW w:w="992" w:type="dxa"/>
            <w:tcBorders>
              <w:top w:val="nil"/>
              <w:bottom w:val="nil"/>
            </w:tcBorders>
            <w:vAlign w:val="center"/>
          </w:tcPr>
          <w:p w14:paraId="66A62DD8"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0.2</w:t>
            </w:r>
          </w:p>
        </w:tc>
        <w:tc>
          <w:tcPr>
            <w:tcW w:w="1422" w:type="dxa"/>
            <w:tcBorders>
              <w:top w:val="nil"/>
              <w:bottom w:val="nil"/>
            </w:tcBorders>
            <w:vAlign w:val="center"/>
          </w:tcPr>
          <w:p w14:paraId="558461AA" w14:textId="6AE39E80" w:rsidR="00B60D66" w:rsidRPr="00BF0082" w:rsidRDefault="008E1383"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3</w:t>
            </w:r>
          </w:p>
        </w:tc>
      </w:tr>
      <w:tr w:rsidR="00382C78" w:rsidRPr="00BF0082" w14:paraId="152F48C3" w14:textId="77777777" w:rsidTr="0082745D">
        <w:trPr>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39D65214" w14:textId="1ED4AE96" w:rsidR="00382C78"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μ</m:t>
                    </m:r>
                  </m:e>
                  <m:sub>
                    <m:r>
                      <m:rPr>
                        <m:sty m:val="bi"/>
                      </m:rPr>
                      <w:rPr>
                        <w:rFonts w:ascii="Cambria Math" w:hAnsi="Cambria Math"/>
                        <w:noProof/>
                        <w:lang w:val="en-GB"/>
                      </w:rPr>
                      <m:t>f</m:t>
                    </m:r>
                  </m:sub>
                </m:sSub>
              </m:oMath>
            </m:oMathPara>
          </w:p>
        </w:tc>
        <w:tc>
          <w:tcPr>
            <w:tcW w:w="1559" w:type="dxa"/>
            <w:tcBorders>
              <w:top w:val="nil"/>
              <w:bottom w:val="nil"/>
            </w:tcBorders>
            <w:shd w:val="clear" w:color="auto" w:fill="auto"/>
            <w:noWrap/>
            <w:vAlign w:val="center"/>
          </w:tcPr>
          <w:p w14:paraId="6E17A4C0" w14:textId="66D34E62" w:rsidR="00382C78" w:rsidRPr="00BF0082" w:rsidRDefault="00C16EB1"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ParaPr>
                <m:jc m:val="left"/>
              </m:oMathParaPr>
              <m:oMath>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tcPr>
          <w:p w14:paraId="1C1851A3" w14:textId="57FC75F1" w:rsidR="00382C78" w:rsidRPr="00BF0082" w:rsidRDefault="00382C78"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Fetal mortality rate</w:t>
            </w:r>
          </w:p>
        </w:tc>
        <w:tc>
          <w:tcPr>
            <w:tcW w:w="992" w:type="dxa"/>
            <w:tcBorders>
              <w:top w:val="nil"/>
              <w:bottom w:val="nil"/>
            </w:tcBorders>
            <w:vAlign w:val="center"/>
          </w:tcPr>
          <w:p w14:paraId="6C00A5AA" w14:textId="171772C6" w:rsidR="00382C78" w:rsidRPr="00BF0082" w:rsidRDefault="007B0A11"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0.000611</w:t>
            </w:r>
          </w:p>
        </w:tc>
        <w:tc>
          <w:tcPr>
            <w:tcW w:w="992" w:type="dxa"/>
            <w:tcBorders>
              <w:top w:val="nil"/>
              <w:bottom w:val="nil"/>
            </w:tcBorders>
            <w:vAlign w:val="center"/>
          </w:tcPr>
          <w:p w14:paraId="6FE06796" w14:textId="37C8FE10" w:rsidR="00382C78" w:rsidRPr="00BF0082" w:rsidRDefault="007B0A11"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0.000611</w:t>
            </w:r>
          </w:p>
        </w:tc>
        <w:tc>
          <w:tcPr>
            <w:tcW w:w="1422" w:type="dxa"/>
            <w:tcBorders>
              <w:top w:val="nil"/>
              <w:bottom w:val="nil"/>
            </w:tcBorders>
            <w:vAlign w:val="center"/>
          </w:tcPr>
          <w:p w14:paraId="0EF2D703" w14:textId="03D59BB8" w:rsidR="00382C78" w:rsidRPr="00BF0082" w:rsidRDefault="008E1383"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this study</w:t>
            </w:r>
          </w:p>
        </w:tc>
      </w:tr>
      <w:tr w:rsidR="00B60D66" w:rsidRPr="00BF0082" w14:paraId="22D2B241" w14:textId="52A392EB" w:rsidTr="008274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0F87A756" w14:textId="3F24C435" w:rsidR="00B60D66" w:rsidRPr="002510F2" w:rsidRDefault="002510F2" w:rsidP="0082745D">
            <w:pPr>
              <w:pStyle w:val="NoSpacing"/>
              <w:rPr>
                <w:noProof/>
                <w:lang w:val="en-GB"/>
              </w:rPr>
            </w:pPr>
            <m:oMathPara>
              <m:oMathParaPr>
                <m:jc m:val="left"/>
              </m:oMathParaPr>
              <m:oMath>
                <m:r>
                  <m:rPr>
                    <m:sty m:val="bi"/>
                  </m:rPr>
                  <w:rPr>
                    <w:rFonts w:ascii="Cambria Math" w:hAnsi="Cambria Math"/>
                    <w:lang w:val="en-GB"/>
                  </w:rPr>
                  <m:t>ψ</m:t>
                </m:r>
              </m:oMath>
            </m:oMathPara>
          </w:p>
        </w:tc>
        <w:tc>
          <w:tcPr>
            <w:tcW w:w="1559" w:type="dxa"/>
            <w:tcBorders>
              <w:top w:val="nil"/>
              <w:bottom w:val="nil"/>
            </w:tcBorders>
            <w:shd w:val="clear" w:color="auto" w:fill="auto"/>
            <w:noWrap/>
            <w:vAlign w:val="center"/>
          </w:tcPr>
          <w:p w14:paraId="622B37FA" w14:textId="77777777" w:rsidR="00B60D66" w:rsidRPr="00BF0082" w:rsidRDefault="00C16EB1"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tcPr>
          <w:p w14:paraId="2F0F5254"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Daily chance of becoming pregnant</w:t>
            </w:r>
          </w:p>
        </w:tc>
        <w:tc>
          <w:tcPr>
            <w:tcW w:w="992" w:type="dxa"/>
            <w:tcBorders>
              <w:top w:val="nil"/>
              <w:bottom w:val="nil"/>
            </w:tcBorders>
            <w:vAlign w:val="center"/>
          </w:tcPr>
          <w:p w14:paraId="2A4489D6"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0.00225</w:t>
            </w:r>
          </w:p>
        </w:tc>
        <w:tc>
          <w:tcPr>
            <w:tcW w:w="992" w:type="dxa"/>
            <w:tcBorders>
              <w:top w:val="nil"/>
              <w:bottom w:val="nil"/>
            </w:tcBorders>
            <w:vAlign w:val="center"/>
          </w:tcPr>
          <w:p w14:paraId="2268A019"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0.00225</w:t>
            </w:r>
          </w:p>
        </w:tc>
        <w:tc>
          <w:tcPr>
            <w:tcW w:w="1422" w:type="dxa"/>
            <w:tcBorders>
              <w:top w:val="nil"/>
              <w:bottom w:val="nil"/>
            </w:tcBorders>
            <w:vAlign w:val="center"/>
          </w:tcPr>
          <w:p w14:paraId="68482B3E" w14:textId="2F7B482C" w:rsidR="00B60D66" w:rsidRPr="00BF0082" w:rsidRDefault="00053C5B"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3</w:t>
            </w:r>
          </w:p>
        </w:tc>
      </w:tr>
      <w:tr w:rsidR="00B60D66" w:rsidRPr="00BF0082" w14:paraId="5769C8B4" w14:textId="33AFDC9D" w:rsidTr="0082745D">
        <w:trPr>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080D32EC" w14:textId="0F32C389" w:rsidR="00B60D6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ε</m:t>
                    </m:r>
                  </m:e>
                  <m:sub>
                    <m:r>
                      <m:rPr>
                        <m:sty m:val="b"/>
                      </m:rPr>
                      <w:rPr>
                        <w:rFonts w:ascii="Cambria Math" w:hAnsi="Cambria Math"/>
                        <w:noProof/>
                        <w:lang w:val="en-GB"/>
                      </w:rPr>
                      <m:t>+</m:t>
                    </m:r>
                  </m:sub>
                </m:sSub>
              </m:oMath>
            </m:oMathPara>
          </w:p>
        </w:tc>
        <w:tc>
          <w:tcPr>
            <w:tcW w:w="1559" w:type="dxa"/>
            <w:tcBorders>
              <w:top w:val="nil"/>
              <w:bottom w:val="nil"/>
            </w:tcBorders>
            <w:shd w:val="clear" w:color="auto" w:fill="auto"/>
            <w:noWrap/>
            <w:vAlign w:val="center"/>
            <w:hideMark/>
          </w:tcPr>
          <w:p w14:paraId="7D6729E6" w14:textId="77777777" w:rsidR="00B60D66" w:rsidRPr="00BF0082" w:rsidRDefault="00B60D66" w:rsidP="000C4A55">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m:oMath>
              <m:r>
                <m:rPr>
                  <m:nor/>
                </m:rPr>
                <w:rPr>
                  <w:noProof/>
                  <w:lang w:val="en-GB"/>
                </w:rPr>
                <m:t>MJ·</m:t>
              </m:r>
              <m:sSup>
                <m:sSupPr>
                  <m:ctrlPr>
                    <w:rPr>
                      <w:rFonts w:ascii="Cambria Math" w:hAnsi="Cambria Math"/>
                      <w:i/>
                      <w:noProof/>
                      <w:lang w:val="en-GB"/>
                    </w:rPr>
                  </m:ctrlPr>
                </m:sSupPr>
                <m:e>
                  <m:r>
                    <m:rPr>
                      <m:nor/>
                    </m:rPr>
                    <w:rPr>
                      <w:noProof/>
                      <w:lang w:val="en-GB"/>
                    </w:rPr>
                    <m:t>kg</m:t>
                  </m:r>
                </m:e>
                <m:sup>
                  <m:r>
                    <m:rPr>
                      <m:nor/>
                    </m:rPr>
                    <w:rPr>
                      <w:noProof/>
                      <w:lang w:val="en-GB"/>
                    </w:rPr>
                    <m:t>–1</m:t>
                  </m:r>
                </m:sup>
              </m:sSup>
            </m:oMath>
            <w:r w:rsidRPr="00BF0082">
              <w:rPr>
                <w:noProof/>
                <w:lang w:val="en-GB"/>
              </w:rPr>
              <w:t xml:space="preserve"> </w:t>
            </w:r>
          </w:p>
        </w:tc>
        <w:tc>
          <w:tcPr>
            <w:tcW w:w="3402" w:type="dxa"/>
            <w:tcBorders>
              <w:top w:val="nil"/>
              <w:bottom w:val="nil"/>
            </w:tcBorders>
            <w:shd w:val="clear" w:color="auto" w:fill="auto"/>
            <w:noWrap/>
            <w:vAlign w:val="center"/>
            <w:hideMark/>
          </w:tcPr>
          <w:p w14:paraId="79BF5629"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 xml:space="preserve">Anabolic reserves conversion efficiency </w:t>
            </w:r>
          </w:p>
        </w:tc>
        <w:tc>
          <w:tcPr>
            <w:tcW w:w="992" w:type="dxa"/>
            <w:tcBorders>
              <w:top w:val="nil"/>
              <w:bottom w:val="nil"/>
            </w:tcBorders>
            <w:vAlign w:val="center"/>
          </w:tcPr>
          <w:p w14:paraId="4B1C14C3"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30</w:t>
            </w:r>
          </w:p>
        </w:tc>
        <w:tc>
          <w:tcPr>
            <w:tcW w:w="992" w:type="dxa"/>
            <w:tcBorders>
              <w:top w:val="nil"/>
              <w:bottom w:val="nil"/>
            </w:tcBorders>
            <w:vAlign w:val="center"/>
          </w:tcPr>
          <w:p w14:paraId="0F55534F" w14:textId="77777777" w:rsidR="00B60D66" w:rsidRPr="00BF0082" w:rsidRDefault="00B60D66"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30</w:t>
            </w:r>
          </w:p>
        </w:tc>
        <w:tc>
          <w:tcPr>
            <w:tcW w:w="1422" w:type="dxa"/>
            <w:tcBorders>
              <w:top w:val="nil"/>
              <w:bottom w:val="nil"/>
            </w:tcBorders>
            <w:vAlign w:val="center"/>
          </w:tcPr>
          <w:p w14:paraId="7CAF4CDF" w14:textId="7838882C" w:rsidR="00B60D66" w:rsidRPr="00BF0082" w:rsidRDefault="00053C5B"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this study</w:t>
            </w:r>
          </w:p>
        </w:tc>
      </w:tr>
      <w:tr w:rsidR="00B60D66" w:rsidRPr="00BF0082" w14:paraId="0002B2F5" w14:textId="6C24FF0B" w:rsidTr="008274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1045746A" w14:textId="441E561D" w:rsidR="00B60D66" w:rsidRPr="002510F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ε</m:t>
                    </m:r>
                  </m:e>
                  <m:sub>
                    <m:r>
                      <m:rPr>
                        <m:sty m:val="b"/>
                      </m:rPr>
                      <w:rPr>
                        <w:rFonts w:ascii="Cambria Math" w:hAnsi="Cambria Math"/>
                        <w:noProof/>
                        <w:lang w:val="en-GB"/>
                      </w:rPr>
                      <m:t>-</m:t>
                    </m:r>
                  </m:sub>
                </m:sSub>
              </m:oMath>
            </m:oMathPara>
          </w:p>
        </w:tc>
        <w:tc>
          <w:tcPr>
            <w:tcW w:w="1559" w:type="dxa"/>
            <w:tcBorders>
              <w:top w:val="nil"/>
              <w:bottom w:val="nil"/>
            </w:tcBorders>
            <w:shd w:val="clear" w:color="auto" w:fill="auto"/>
            <w:noWrap/>
            <w:vAlign w:val="center"/>
            <w:hideMark/>
          </w:tcPr>
          <w:p w14:paraId="538FC3E0" w14:textId="77777777" w:rsidR="00B60D66" w:rsidRPr="00BF0082" w:rsidRDefault="00B60D66"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r>
                  <m:rPr>
                    <m:nor/>
                  </m:rPr>
                  <w:rPr>
                    <w:noProof/>
                    <w:lang w:val="en-GB"/>
                  </w:rPr>
                  <m:t>MJ·</m:t>
                </m:r>
                <m:sSup>
                  <m:sSupPr>
                    <m:ctrlPr>
                      <w:rPr>
                        <w:rFonts w:ascii="Cambria Math" w:hAnsi="Cambria Math"/>
                        <w:i/>
                        <w:noProof/>
                        <w:lang w:val="en-GB"/>
                      </w:rPr>
                    </m:ctrlPr>
                  </m:sSupPr>
                  <m:e>
                    <m:r>
                      <m:rPr>
                        <m:nor/>
                      </m:rPr>
                      <w:rPr>
                        <w:noProof/>
                        <w:lang w:val="en-GB"/>
                      </w:rPr>
                      <m:t>kg</m:t>
                    </m:r>
                  </m:e>
                  <m:sup>
                    <m:r>
                      <m:rPr>
                        <m:nor/>
                      </m:rPr>
                      <w:rPr>
                        <w:noProof/>
                        <w:lang w:val="en-GB"/>
                      </w:rPr>
                      <m:t>–1</m:t>
                    </m:r>
                  </m:sup>
                </m:sSup>
              </m:oMath>
            </m:oMathPara>
          </w:p>
        </w:tc>
        <w:tc>
          <w:tcPr>
            <w:tcW w:w="3402" w:type="dxa"/>
            <w:tcBorders>
              <w:top w:val="nil"/>
              <w:bottom w:val="nil"/>
            </w:tcBorders>
            <w:shd w:val="clear" w:color="auto" w:fill="auto"/>
            <w:noWrap/>
            <w:vAlign w:val="center"/>
            <w:hideMark/>
          </w:tcPr>
          <w:p w14:paraId="4D5A3926"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 xml:space="preserve">Catabolic reserves conversion efficiency </w:t>
            </w:r>
          </w:p>
        </w:tc>
        <w:tc>
          <w:tcPr>
            <w:tcW w:w="992" w:type="dxa"/>
            <w:tcBorders>
              <w:top w:val="nil"/>
              <w:bottom w:val="nil"/>
            </w:tcBorders>
            <w:vAlign w:val="center"/>
          </w:tcPr>
          <w:p w14:paraId="0F56184A"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20</w:t>
            </w:r>
          </w:p>
        </w:tc>
        <w:tc>
          <w:tcPr>
            <w:tcW w:w="992" w:type="dxa"/>
            <w:tcBorders>
              <w:top w:val="nil"/>
              <w:bottom w:val="nil"/>
            </w:tcBorders>
            <w:vAlign w:val="center"/>
          </w:tcPr>
          <w:p w14:paraId="74EE9623" w14:textId="77777777" w:rsidR="00B60D66" w:rsidRPr="00BF0082" w:rsidRDefault="00B60D66"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20</w:t>
            </w:r>
          </w:p>
        </w:tc>
        <w:tc>
          <w:tcPr>
            <w:tcW w:w="1422" w:type="dxa"/>
            <w:tcBorders>
              <w:top w:val="nil"/>
              <w:bottom w:val="nil"/>
            </w:tcBorders>
            <w:vAlign w:val="center"/>
          </w:tcPr>
          <w:p w14:paraId="625948E6" w14:textId="030E9C01" w:rsidR="00B60D66" w:rsidRPr="00BF0082" w:rsidRDefault="00053C5B"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this study</w:t>
            </w:r>
          </w:p>
        </w:tc>
      </w:tr>
      <w:tr w:rsidR="00B63573" w:rsidRPr="00BF0082" w14:paraId="353F9F54" w14:textId="77777777" w:rsidTr="0082745D">
        <w:trPr>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5EAD4634" w14:textId="63B0C7B3" w:rsidR="00B63573" w:rsidRPr="00BF008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F</m:t>
                    </m:r>
                  </m:e>
                  <m:sub>
                    <m:r>
                      <m:rPr>
                        <m:sty m:val="bi"/>
                      </m:rPr>
                      <w:rPr>
                        <w:rFonts w:ascii="Cambria Math" w:hAnsi="Cambria Math"/>
                        <w:noProof/>
                        <w:lang w:val="en-GB"/>
                      </w:rPr>
                      <m:t>neo</m:t>
                    </m:r>
                  </m:sub>
                </m:sSub>
              </m:oMath>
            </m:oMathPara>
          </w:p>
        </w:tc>
        <w:tc>
          <w:tcPr>
            <w:tcW w:w="1559" w:type="dxa"/>
            <w:tcBorders>
              <w:top w:val="nil"/>
              <w:bottom w:val="nil"/>
            </w:tcBorders>
            <w:shd w:val="clear" w:color="auto" w:fill="auto"/>
            <w:noWrap/>
            <w:vAlign w:val="center"/>
          </w:tcPr>
          <w:p w14:paraId="386B18CD" w14:textId="210FCC35" w:rsidR="00B63573" w:rsidRPr="00BF0082" w:rsidRDefault="00B63573"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ParaPr>
                <m:jc m:val="left"/>
              </m:oMathParaPr>
              <m:oMath>
                <m:r>
                  <m:rPr>
                    <m:nor/>
                  </m:rPr>
                  <w:rPr>
                    <w:noProof/>
                    <w:lang w:val="en-GB"/>
                  </w:rPr>
                  <m:t>kg</m:t>
                </m:r>
              </m:oMath>
            </m:oMathPara>
          </w:p>
        </w:tc>
        <w:tc>
          <w:tcPr>
            <w:tcW w:w="3402" w:type="dxa"/>
            <w:tcBorders>
              <w:top w:val="nil"/>
              <w:bottom w:val="nil"/>
            </w:tcBorders>
            <w:shd w:val="clear" w:color="auto" w:fill="auto"/>
            <w:noWrap/>
            <w:vAlign w:val="center"/>
          </w:tcPr>
          <w:p w14:paraId="7FA33720" w14:textId="55EC6D21" w:rsidR="00B63573" w:rsidRPr="00BF0082" w:rsidRDefault="00B63573" w:rsidP="0082745D">
            <w:pPr>
              <w:pStyle w:val="NoSpacing"/>
              <w:jc w:val="left"/>
              <w:cnfStyle w:val="000000000000" w:firstRow="0" w:lastRow="0" w:firstColumn="0" w:lastColumn="0" w:oddVBand="0" w:evenVBand="0" w:oddHBand="0" w:evenHBand="0" w:firstRowFirstColumn="0" w:firstRowLastColumn="0" w:lastRowFirstColumn="0" w:lastRowLastColumn="0"/>
              <w:rPr>
                <w:rFonts w:eastAsia="Calibri"/>
                <w:noProof/>
                <w:lang w:val="en-GB"/>
              </w:rPr>
            </w:pPr>
            <w:r w:rsidRPr="00BF0082">
              <w:t>Amount of reserves required to produce structural mass of neonate</w:t>
            </w:r>
          </w:p>
        </w:tc>
        <w:tc>
          <w:tcPr>
            <w:tcW w:w="992" w:type="dxa"/>
            <w:tcBorders>
              <w:top w:val="nil"/>
              <w:bottom w:val="nil"/>
            </w:tcBorders>
            <w:vAlign w:val="center"/>
          </w:tcPr>
          <w:p w14:paraId="3386D1D8" w14:textId="6C89578B" w:rsidR="00B63573" w:rsidRPr="00BF0082" w:rsidRDefault="00B63573"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78.98</w:t>
            </w:r>
          </w:p>
        </w:tc>
        <w:tc>
          <w:tcPr>
            <w:tcW w:w="992" w:type="dxa"/>
            <w:tcBorders>
              <w:top w:val="nil"/>
              <w:bottom w:val="nil"/>
            </w:tcBorders>
            <w:vAlign w:val="center"/>
          </w:tcPr>
          <w:p w14:paraId="562D11D3" w14:textId="027E31D4" w:rsidR="00B63573" w:rsidRPr="00BF0082" w:rsidRDefault="00B63573"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360</w:t>
            </w:r>
          </w:p>
        </w:tc>
        <w:tc>
          <w:tcPr>
            <w:tcW w:w="1422" w:type="dxa"/>
            <w:tcBorders>
              <w:top w:val="nil"/>
              <w:bottom w:val="nil"/>
            </w:tcBorders>
            <w:vAlign w:val="center"/>
          </w:tcPr>
          <w:p w14:paraId="1A11BB00" w14:textId="62838157" w:rsidR="00B63573" w:rsidRPr="00BF0082" w:rsidRDefault="00053C5B"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this study</w:t>
            </w:r>
          </w:p>
        </w:tc>
      </w:tr>
      <w:tr w:rsidR="00B63573" w:rsidRPr="00BF0082" w14:paraId="68501404" w14:textId="77777777" w:rsidTr="008274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3CA31D27" w14:textId="365209AC" w:rsidR="00B63573" w:rsidRPr="00BF0082" w:rsidRDefault="00C16EB1" w:rsidP="0082745D">
            <w:pPr>
              <w:pStyle w:val="NoSpacing"/>
              <w:rPr>
                <w:noProof/>
                <w:lang w:val="en-GB"/>
              </w:rPr>
            </w:pPr>
            <m:oMathPara>
              <m:oMathParaPr>
                <m:jc m:val="left"/>
              </m:oMathParaPr>
              <m:oMath>
                <m:sSub>
                  <m:sSubPr>
                    <m:ctrlPr>
                      <w:rPr>
                        <w:rFonts w:ascii="Cambria Math" w:hAnsi="Cambria Math"/>
                        <w:noProof/>
                        <w:lang w:val="en-GB"/>
                      </w:rPr>
                    </m:ctrlPr>
                  </m:sSubPr>
                  <m:e>
                    <m:r>
                      <m:rPr>
                        <m:sty m:val="bi"/>
                      </m:rPr>
                      <w:rPr>
                        <w:rFonts w:ascii="Cambria Math" w:hAnsi="Cambria Math"/>
                        <w:noProof/>
                        <w:lang w:val="en-GB"/>
                      </w:rPr>
                      <m:t>F</m:t>
                    </m:r>
                  </m:e>
                  <m:sub>
                    <m:r>
                      <m:rPr>
                        <m:sty m:val="bi"/>
                      </m:rPr>
                      <w:rPr>
                        <w:rFonts w:ascii="Cambria Math" w:hAnsi="Cambria Math"/>
                        <w:noProof/>
                        <w:lang w:val="en-GB"/>
                      </w:rPr>
                      <m:t>b</m:t>
                    </m:r>
                  </m:sub>
                </m:sSub>
              </m:oMath>
            </m:oMathPara>
          </w:p>
        </w:tc>
        <w:tc>
          <w:tcPr>
            <w:tcW w:w="1559" w:type="dxa"/>
            <w:tcBorders>
              <w:top w:val="nil"/>
              <w:bottom w:val="nil"/>
            </w:tcBorders>
            <w:shd w:val="clear" w:color="auto" w:fill="auto"/>
            <w:noWrap/>
            <w:vAlign w:val="center"/>
          </w:tcPr>
          <w:p w14:paraId="58A23144" w14:textId="2071D7DD" w:rsidR="00B63573" w:rsidRPr="00BF0082" w:rsidRDefault="00B63573"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r>
                  <m:rPr>
                    <m:nor/>
                  </m:rPr>
                  <w:rPr>
                    <w:noProof/>
                    <w:lang w:val="en-GB"/>
                  </w:rPr>
                  <m:t>kg</m:t>
                </m:r>
              </m:oMath>
            </m:oMathPara>
          </w:p>
        </w:tc>
        <w:tc>
          <w:tcPr>
            <w:tcW w:w="3402" w:type="dxa"/>
            <w:tcBorders>
              <w:top w:val="nil"/>
              <w:bottom w:val="nil"/>
            </w:tcBorders>
            <w:shd w:val="clear" w:color="auto" w:fill="auto"/>
            <w:noWrap/>
            <w:vAlign w:val="center"/>
          </w:tcPr>
          <w:p w14:paraId="6148DE36" w14:textId="42DC4796" w:rsidR="00B63573" w:rsidRPr="00BF0082" w:rsidRDefault="00B63573" w:rsidP="0082745D">
            <w:pPr>
              <w:pStyle w:val="NoSpacing"/>
              <w:jc w:val="left"/>
              <w:cnfStyle w:val="000000100000" w:firstRow="0" w:lastRow="0" w:firstColumn="0" w:lastColumn="0" w:oddVBand="0" w:evenVBand="0" w:oddHBand="1" w:evenHBand="0" w:firstRowFirstColumn="0" w:firstRowLastColumn="0" w:lastRowFirstColumn="0" w:lastRowLastColumn="0"/>
            </w:pPr>
            <w:r w:rsidRPr="00BF0082">
              <w:t>Reserve mass at birth</w:t>
            </w:r>
          </w:p>
        </w:tc>
        <w:tc>
          <w:tcPr>
            <w:tcW w:w="992" w:type="dxa"/>
            <w:tcBorders>
              <w:top w:val="nil"/>
              <w:bottom w:val="nil"/>
            </w:tcBorders>
            <w:vAlign w:val="center"/>
          </w:tcPr>
          <w:p w14:paraId="438195A8" w14:textId="7A97CFDE" w:rsidR="00B63573" w:rsidRPr="00BF0082" w:rsidRDefault="00491FF3"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13.9</w:t>
            </w:r>
          </w:p>
        </w:tc>
        <w:tc>
          <w:tcPr>
            <w:tcW w:w="992" w:type="dxa"/>
            <w:tcBorders>
              <w:top w:val="nil"/>
              <w:bottom w:val="nil"/>
            </w:tcBorders>
            <w:vAlign w:val="center"/>
          </w:tcPr>
          <w:p w14:paraId="5D573847" w14:textId="5F5EABA8" w:rsidR="00B63573" w:rsidRPr="00BF0082" w:rsidRDefault="00491FF3"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33.2</w:t>
            </w:r>
          </w:p>
        </w:tc>
        <w:tc>
          <w:tcPr>
            <w:tcW w:w="1422" w:type="dxa"/>
            <w:tcBorders>
              <w:top w:val="nil"/>
              <w:bottom w:val="nil"/>
            </w:tcBorders>
            <w:vAlign w:val="center"/>
          </w:tcPr>
          <w:p w14:paraId="7616EB5C" w14:textId="6A05E289" w:rsidR="00B63573" w:rsidRPr="00BF0082" w:rsidRDefault="00053C5B"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this study</w:t>
            </w:r>
          </w:p>
        </w:tc>
      </w:tr>
      <w:tr w:rsidR="00C865DE" w:rsidRPr="00BF0082" w14:paraId="794EAF4F" w14:textId="77777777" w:rsidTr="0082745D">
        <w:trPr>
          <w:trHeight w:val="20"/>
        </w:trPr>
        <w:tc>
          <w:tcPr>
            <w:tcW w:w="993" w:type="dxa"/>
            <w:tcBorders>
              <w:top w:val="nil"/>
              <w:bottom w:val="nil"/>
            </w:tcBorders>
            <w:vAlign w:val="center"/>
          </w:tcPr>
          <w:p w14:paraId="5B07F346" w14:textId="09BB254A" w:rsidR="00C865DE" w:rsidRPr="00BF0082" w:rsidRDefault="002B3075" w:rsidP="0082745D">
            <w:pPr>
              <w:pStyle w:val="NoSpacing"/>
              <w:cnfStyle w:val="001000000000" w:firstRow="0" w:lastRow="0" w:firstColumn="1" w:lastColumn="0" w:oddVBand="0" w:evenVBand="0" w:oddHBand="0" w:evenHBand="0" w:firstRowFirstColumn="0" w:firstRowLastColumn="0" w:lastRowFirstColumn="0" w:lastRowLastColumn="0"/>
              <w:rPr>
                <w:noProof/>
                <w:lang w:val="en-GB"/>
              </w:rPr>
            </w:pPr>
            <m:oMathPara>
              <m:oMathParaPr>
                <m:jc m:val="left"/>
              </m:oMathParaPr>
              <m:oMath>
                <m:sSub>
                  <m:sSubPr>
                    <m:ctrlPr>
                      <w:rPr>
                        <w:rFonts w:ascii="Cambria Math" w:hAnsi="Cambria Math"/>
                        <w:b w:val="0"/>
                        <w:bCs w:val="0"/>
                        <w:i/>
                        <w:noProof/>
                        <w:lang w:val="en-GB"/>
                      </w:rPr>
                    </m:ctrlPr>
                  </m:sSubPr>
                  <m:e>
                    <m:r>
                      <m:rPr>
                        <m:sty m:val="bi"/>
                      </m:rPr>
                      <w:rPr>
                        <w:rFonts w:ascii="Cambria Math" w:hAnsi="Cambria Math"/>
                        <w:noProof/>
                        <w:lang w:val="en-GB"/>
                      </w:rPr>
                      <m:t>R</m:t>
                    </m:r>
                    <m:ctrlPr>
                      <w:rPr>
                        <w:rFonts w:ascii="Cambria Math" w:hAnsi="Cambria Math"/>
                        <w:i/>
                        <w:noProof/>
                        <w:lang w:val="en-GB"/>
                      </w:rPr>
                    </m:ctrlPr>
                  </m:e>
                  <m:sub>
                    <m:r>
                      <m:rPr>
                        <m:sty m:val="bi"/>
                      </m:rPr>
                      <w:rPr>
                        <w:rFonts w:ascii="Cambria Math" w:hAnsi="Cambria Math"/>
                        <w:noProof/>
                        <w:lang w:val="en-GB"/>
                      </w:rPr>
                      <m:t>max</m:t>
                    </m:r>
                  </m:sub>
                </m:sSub>
              </m:oMath>
            </m:oMathPara>
          </w:p>
        </w:tc>
        <w:tc>
          <w:tcPr>
            <w:tcW w:w="1559" w:type="dxa"/>
            <w:tcBorders>
              <w:top w:val="nil"/>
              <w:bottom w:val="nil"/>
            </w:tcBorders>
            <w:shd w:val="clear" w:color="auto" w:fill="auto"/>
            <w:noWrap/>
            <w:vAlign w:val="center"/>
          </w:tcPr>
          <w:p w14:paraId="5B0CA6BC" w14:textId="7A0A90DD" w:rsidR="00C865DE" w:rsidRPr="00BF0082" w:rsidRDefault="00C865DE" w:rsidP="0082745D">
            <w:pPr>
              <w:pStyle w:val="NoSpacing"/>
              <w:rPr>
                <w:rFonts w:eastAsia="Calibri"/>
                <w:noProof/>
                <w:lang w:val="en-GB"/>
              </w:rPr>
            </w:pPr>
            <m:oMathPara>
              <m:oMathParaPr>
                <m:jc m:val="left"/>
              </m:oMathParaPr>
              <m:oMath>
                <m:r>
                  <m:rPr>
                    <m:nor/>
                  </m:rPr>
                  <w:rPr>
                    <w:noProof/>
                    <w:lang w:val="en-GB"/>
                  </w:rPr>
                  <m:t>MJ∙</m:t>
                </m:r>
                <m:sSup>
                  <m:sSupPr>
                    <m:ctrlPr>
                      <w:rPr>
                        <w:rFonts w:ascii="Cambria Math" w:hAnsi="Cambria Math"/>
                        <w:noProof/>
                        <w:lang w:val="en-GB"/>
                      </w:rPr>
                    </m:ctrlPr>
                  </m:sSupPr>
                  <m:e>
                    <m:r>
                      <m:rPr>
                        <m:nor/>
                      </m:rPr>
                      <w:rPr>
                        <w:noProof/>
                        <w:lang w:val="en-GB"/>
                      </w:rPr>
                      <m:t>m</m:t>
                    </m:r>
                  </m:e>
                  <m:sup>
                    <m:r>
                      <w:rPr>
                        <w:rFonts w:ascii="Cambria Math" w:hAnsi="Cambria Math"/>
                        <w:noProof/>
                        <w:lang w:val="en-GB"/>
                      </w:rPr>
                      <m:t>–3</m:t>
                    </m:r>
                  </m:sup>
                </m:sSup>
              </m:oMath>
            </m:oMathPara>
          </w:p>
        </w:tc>
        <w:tc>
          <w:tcPr>
            <w:tcW w:w="3402" w:type="dxa"/>
            <w:tcBorders>
              <w:top w:val="nil"/>
              <w:bottom w:val="nil"/>
            </w:tcBorders>
            <w:shd w:val="clear" w:color="auto" w:fill="auto"/>
            <w:noWrap/>
            <w:vAlign w:val="center"/>
          </w:tcPr>
          <w:p w14:paraId="0F656021" w14:textId="627D4C83" w:rsidR="00C865DE" w:rsidRPr="00BF0082" w:rsidRDefault="009430C5" w:rsidP="0082745D">
            <w:pPr>
              <w:pStyle w:val="NoSpacing"/>
              <w:jc w:val="left"/>
            </w:pPr>
            <w:r>
              <w:t>Max. p</w:t>
            </w:r>
            <w:r w:rsidR="00C865DE" w:rsidRPr="00BF0082">
              <w:t xml:space="preserve">rey </w:t>
            </w:r>
            <w:r>
              <w:t>density</w:t>
            </w:r>
          </w:p>
        </w:tc>
        <w:tc>
          <w:tcPr>
            <w:tcW w:w="992" w:type="dxa"/>
            <w:tcBorders>
              <w:top w:val="nil"/>
              <w:bottom w:val="nil"/>
            </w:tcBorders>
            <w:vAlign w:val="center"/>
          </w:tcPr>
          <w:p w14:paraId="3F257FB2" w14:textId="2426A69E" w:rsidR="00C865DE" w:rsidRPr="00BF0082" w:rsidRDefault="00415C00" w:rsidP="0082745D">
            <w:pPr>
              <w:pStyle w:val="NoSpacing"/>
              <w:jc w:val="left"/>
              <w:rPr>
                <w:noProof/>
                <w:lang w:val="en-GB"/>
              </w:rPr>
            </w:pPr>
            <w:r>
              <w:rPr>
                <w:noProof/>
                <w:lang w:val="en-GB"/>
              </w:rPr>
              <w:t>0.</w:t>
            </w:r>
            <w:r w:rsidR="008E5277">
              <w:rPr>
                <w:noProof/>
                <w:lang w:val="en-GB"/>
              </w:rPr>
              <w:t>81</w:t>
            </w:r>
          </w:p>
        </w:tc>
        <w:tc>
          <w:tcPr>
            <w:tcW w:w="992" w:type="dxa"/>
            <w:tcBorders>
              <w:top w:val="nil"/>
              <w:bottom w:val="nil"/>
            </w:tcBorders>
            <w:vAlign w:val="center"/>
          </w:tcPr>
          <w:p w14:paraId="1CA0A1DD" w14:textId="2EC77ADE" w:rsidR="00C865DE" w:rsidRPr="00BF0082" w:rsidRDefault="00415C00" w:rsidP="0082745D">
            <w:pPr>
              <w:pStyle w:val="NoSpacing"/>
              <w:jc w:val="left"/>
              <w:rPr>
                <w:noProof/>
                <w:lang w:val="en-GB"/>
              </w:rPr>
            </w:pPr>
            <w:r>
              <w:rPr>
                <w:noProof/>
                <w:lang w:val="en-GB"/>
              </w:rPr>
              <w:t>1.</w:t>
            </w:r>
            <w:r w:rsidR="00BC7ABF">
              <w:rPr>
                <w:noProof/>
                <w:lang w:val="en-GB"/>
              </w:rPr>
              <w:t>35</w:t>
            </w:r>
          </w:p>
        </w:tc>
        <w:tc>
          <w:tcPr>
            <w:tcW w:w="1422" w:type="dxa"/>
            <w:tcBorders>
              <w:top w:val="nil"/>
              <w:bottom w:val="nil"/>
            </w:tcBorders>
            <w:vAlign w:val="center"/>
          </w:tcPr>
          <w:p w14:paraId="596E58BA" w14:textId="5EACE845" w:rsidR="00C865DE" w:rsidRPr="00BF0082" w:rsidRDefault="00DB7177" w:rsidP="0082745D">
            <w:pPr>
              <w:pStyle w:val="NoSpacing"/>
              <w:jc w:val="left"/>
              <w:rPr>
                <w:noProof/>
                <w:lang w:val="en-GB"/>
              </w:rPr>
            </w:pPr>
            <w:r>
              <w:rPr>
                <w:noProof/>
                <w:lang w:val="en-GB"/>
              </w:rPr>
              <w:t>this study</w:t>
            </w:r>
          </w:p>
        </w:tc>
      </w:tr>
      <w:tr w:rsidR="00C865DE" w:rsidRPr="00BF0082" w14:paraId="0E99CC1D" w14:textId="77777777" w:rsidTr="008274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nil"/>
            </w:tcBorders>
            <w:vAlign w:val="center"/>
          </w:tcPr>
          <w:p w14:paraId="61117C57" w14:textId="26A01E33" w:rsidR="00C865DE" w:rsidRPr="00BF0082" w:rsidRDefault="00C865DE" w:rsidP="0082745D">
            <w:pPr>
              <w:pStyle w:val="NoSpacing"/>
              <w:rPr>
                <w:noProof/>
                <w:lang w:val="en-GB"/>
              </w:rPr>
            </w:pPr>
            <m:oMathPara>
              <m:oMathParaPr>
                <m:jc m:val="left"/>
              </m:oMathParaPr>
              <m:oMath>
                <m:r>
                  <m:rPr>
                    <m:sty m:val="bi"/>
                  </m:rPr>
                  <w:rPr>
                    <w:rFonts w:ascii="Cambria Math" w:hAnsi="Cambria Math"/>
                    <w:noProof/>
                    <w:lang w:val="en-GB"/>
                  </w:rPr>
                  <m:t>δ</m:t>
                </m:r>
              </m:oMath>
            </m:oMathPara>
          </w:p>
        </w:tc>
        <w:tc>
          <w:tcPr>
            <w:tcW w:w="1559" w:type="dxa"/>
            <w:tcBorders>
              <w:top w:val="nil"/>
              <w:bottom w:val="nil"/>
            </w:tcBorders>
            <w:shd w:val="clear" w:color="auto" w:fill="auto"/>
            <w:noWrap/>
            <w:vAlign w:val="center"/>
          </w:tcPr>
          <w:p w14:paraId="76DBED32" w14:textId="6CB78F72" w:rsidR="00C865DE" w:rsidRPr="00BF0082" w:rsidRDefault="00C16EB1" w:rsidP="0082745D">
            <w:pPr>
              <w:pStyle w:val="NoSpacing"/>
              <w:cnfStyle w:val="000000100000" w:firstRow="0" w:lastRow="0" w:firstColumn="0" w:lastColumn="0" w:oddVBand="0" w:evenVBand="0" w:oddHBand="1" w:evenHBand="0" w:firstRowFirstColumn="0" w:firstRowLastColumn="0" w:lastRowFirstColumn="0" w:lastRowLastColumn="0"/>
              <w:rPr>
                <w:noProof/>
                <w:lang w:val="en-GB"/>
              </w:rPr>
            </w:pPr>
            <m:oMathPara>
              <m:oMathParaPr>
                <m:jc m:val="left"/>
              </m:oMathParaPr>
              <m:oMath>
                <m:sSup>
                  <m:sSupPr>
                    <m:ctrlPr>
                      <w:rPr>
                        <w:rFonts w:ascii="Cambria Math" w:hAnsi="Cambria Math"/>
                        <w:i/>
                        <w:noProof/>
                        <w:lang w:val="en-GB"/>
                      </w:rPr>
                    </m:ctrlPr>
                  </m:sSupPr>
                  <m:e>
                    <m:r>
                      <m:rPr>
                        <m:nor/>
                      </m:rPr>
                      <w:rPr>
                        <w:noProof/>
                        <w:lang w:val="en-GB"/>
                      </w:rPr>
                      <m:t>day</m:t>
                    </m:r>
                  </m:e>
                  <m:sup>
                    <m:r>
                      <m:rPr>
                        <m:nor/>
                      </m:rPr>
                      <w:rPr>
                        <w:noProof/>
                        <w:lang w:val="en-GB"/>
                      </w:rPr>
                      <m:t>–1</m:t>
                    </m:r>
                  </m:sup>
                </m:sSup>
              </m:oMath>
            </m:oMathPara>
          </w:p>
        </w:tc>
        <w:tc>
          <w:tcPr>
            <w:tcW w:w="3402" w:type="dxa"/>
            <w:tcBorders>
              <w:top w:val="nil"/>
              <w:bottom w:val="nil"/>
            </w:tcBorders>
            <w:shd w:val="clear" w:color="auto" w:fill="auto"/>
            <w:noWrap/>
            <w:vAlign w:val="center"/>
          </w:tcPr>
          <w:p w14:paraId="6E277DF7" w14:textId="5347F8A5" w:rsidR="00C865DE" w:rsidRPr="00BF0082" w:rsidRDefault="00C865DE" w:rsidP="0082745D">
            <w:pPr>
              <w:pStyle w:val="NoSpacing"/>
              <w:jc w:val="left"/>
              <w:cnfStyle w:val="000000100000" w:firstRow="0" w:lastRow="0" w:firstColumn="0" w:lastColumn="0" w:oddVBand="0" w:evenVBand="0" w:oddHBand="1" w:evenHBand="0" w:firstRowFirstColumn="0" w:firstRowLastColumn="0" w:lastRowFirstColumn="0" w:lastRowLastColumn="0"/>
            </w:pPr>
            <w:r w:rsidRPr="00BF0082">
              <w:rPr>
                <w:noProof/>
                <w:lang w:val="en-GB"/>
              </w:rPr>
              <w:t>Prey turn-over rate</w:t>
            </w:r>
          </w:p>
        </w:tc>
        <w:tc>
          <w:tcPr>
            <w:tcW w:w="992" w:type="dxa"/>
            <w:tcBorders>
              <w:top w:val="nil"/>
              <w:bottom w:val="nil"/>
            </w:tcBorders>
            <w:vAlign w:val="center"/>
          </w:tcPr>
          <w:p w14:paraId="7C184EA9" w14:textId="74A4B522" w:rsidR="00C865DE" w:rsidRPr="00BF0082" w:rsidRDefault="00950255"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0.05</w:t>
            </w:r>
          </w:p>
        </w:tc>
        <w:tc>
          <w:tcPr>
            <w:tcW w:w="992" w:type="dxa"/>
            <w:tcBorders>
              <w:top w:val="nil"/>
              <w:bottom w:val="nil"/>
            </w:tcBorders>
            <w:vAlign w:val="center"/>
          </w:tcPr>
          <w:p w14:paraId="4B8E92D1" w14:textId="32BBF8A3" w:rsidR="00C865DE" w:rsidRPr="00BF0082" w:rsidRDefault="00950255"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sidRPr="00BF0082">
              <w:rPr>
                <w:noProof/>
                <w:lang w:val="en-GB"/>
              </w:rPr>
              <w:t>0.05</w:t>
            </w:r>
          </w:p>
        </w:tc>
        <w:tc>
          <w:tcPr>
            <w:tcW w:w="1422" w:type="dxa"/>
            <w:tcBorders>
              <w:top w:val="nil"/>
              <w:bottom w:val="nil"/>
            </w:tcBorders>
            <w:vAlign w:val="center"/>
          </w:tcPr>
          <w:p w14:paraId="37A34BA5" w14:textId="0C68714D" w:rsidR="00C865DE" w:rsidRPr="00BF0082" w:rsidRDefault="00AB3319" w:rsidP="0082745D">
            <w:pPr>
              <w:pStyle w:val="NoSpacing"/>
              <w:jc w:val="left"/>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3</w:t>
            </w:r>
          </w:p>
        </w:tc>
      </w:tr>
      <w:tr w:rsidR="00950255" w:rsidRPr="00BF0082" w14:paraId="54E6ED58" w14:textId="77777777" w:rsidTr="0082745D">
        <w:trPr>
          <w:trHeight w:val="20"/>
        </w:trPr>
        <w:tc>
          <w:tcPr>
            <w:cnfStyle w:val="001000000000" w:firstRow="0" w:lastRow="0" w:firstColumn="1" w:lastColumn="0" w:oddVBand="0" w:evenVBand="0" w:oddHBand="0" w:evenHBand="0" w:firstRowFirstColumn="0" w:firstRowLastColumn="0" w:lastRowFirstColumn="0" w:lastRowLastColumn="0"/>
            <w:tcW w:w="993" w:type="dxa"/>
            <w:tcBorders>
              <w:top w:val="nil"/>
              <w:bottom w:val="single" w:sz="8" w:space="0" w:color="000000"/>
            </w:tcBorders>
            <w:vAlign w:val="center"/>
          </w:tcPr>
          <w:p w14:paraId="3E404F6E" w14:textId="40825D66" w:rsidR="00950255" w:rsidRPr="00BF0082" w:rsidRDefault="00950255" w:rsidP="0082745D">
            <w:pPr>
              <w:pStyle w:val="NoSpacing"/>
              <w:rPr>
                <w:noProof/>
                <w:lang w:val="en-GB"/>
              </w:rPr>
            </w:pPr>
            <m:oMathPara>
              <m:oMathParaPr>
                <m:jc m:val="left"/>
              </m:oMathParaPr>
              <m:oMath>
                <m:r>
                  <m:rPr>
                    <m:sty m:val="bi"/>
                  </m:rPr>
                  <w:rPr>
                    <w:rFonts w:ascii="Cambria Math" w:hAnsi="Cambria Math"/>
                    <w:noProof/>
                    <w:lang w:val="en-GB"/>
                  </w:rPr>
                  <m:t>V</m:t>
                </m:r>
              </m:oMath>
            </m:oMathPara>
          </w:p>
        </w:tc>
        <w:tc>
          <w:tcPr>
            <w:tcW w:w="1559" w:type="dxa"/>
            <w:tcBorders>
              <w:top w:val="nil"/>
              <w:bottom w:val="single" w:sz="8" w:space="0" w:color="000000"/>
            </w:tcBorders>
            <w:shd w:val="clear" w:color="auto" w:fill="auto"/>
            <w:noWrap/>
            <w:vAlign w:val="center"/>
          </w:tcPr>
          <w:p w14:paraId="4434110B" w14:textId="4A3769E6" w:rsidR="00950255" w:rsidRPr="00BF0082" w:rsidRDefault="00C16EB1" w:rsidP="0082745D">
            <w:pPr>
              <w:pStyle w:val="NoSpacing"/>
              <w:cnfStyle w:val="000000000000" w:firstRow="0" w:lastRow="0" w:firstColumn="0" w:lastColumn="0" w:oddVBand="0" w:evenVBand="0" w:oddHBand="0" w:evenHBand="0" w:firstRowFirstColumn="0" w:firstRowLastColumn="0" w:lastRowFirstColumn="0" w:lastRowLastColumn="0"/>
              <w:rPr>
                <w:noProof/>
                <w:lang w:val="en-GB"/>
              </w:rPr>
            </w:pPr>
            <m:oMathPara>
              <m:oMathParaPr>
                <m:jc m:val="left"/>
              </m:oMathParaPr>
              <m:oMath>
                <m:sSup>
                  <m:sSupPr>
                    <m:ctrlPr>
                      <w:rPr>
                        <w:rFonts w:ascii="Cambria Math" w:hAnsi="Cambria Math"/>
                        <w:noProof/>
                        <w:lang w:val="en-GB"/>
                      </w:rPr>
                    </m:ctrlPr>
                  </m:sSupPr>
                  <m:e>
                    <m:r>
                      <m:rPr>
                        <m:nor/>
                      </m:rPr>
                      <w:rPr>
                        <w:noProof/>
                        <w:lang w:val="en-GB"/>
                      </w:rPr>
                      <m:t>m</m:t>
                    </m:r>
                  </m:e>
                  <m:sup>
                    <m:r>
                      <m:rPr>
                        <m:sty m:val="p"/>
                      </m:rPr>
                      <w:rPr>
                        <w:rFonts w:ascii="Cambria Math" w:hAnsi="Cambria Math"/>
                        <w:noProof/>
                        <w:lang w:val="en-GB"/>
                      </w:rPr>
                      <m:t>3</m:t>
                    </m:r>
                  </m:sup>
                </m:sSup>
              </m:oMath>
            </m:oMathPara>
          </w:p>
        </w:tc>
        <w:tc>
          <w:tcPr>
            <w:tcW w:w="3402" w:type="dxa"/>
            <w:tcBorders>
              <w:top w:val="nil"/>
              <w:bottom w:val="single" w:sz="8" w:space="0" w:color="000000"/>
            </w:tcBorders>
            <w:shd w:val="clear" w:color="auto" w:fill="auto"/>
            <w:noWrap/>
            <w:vAlign w:val="center"/>
          </w:tcPr>
          <w:p w14:paraId="1C7EB24F" w14:textId="0FFB9A27" w:rsidR="00950255" w:rsidRPr="00BF0082" w:rsidRDefault="003C0E75"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sidRPr="00BF0082">
              <w:rPr>
                <w:noProof/>
                <w:lang w:val="en-GB"/>
              </w:rPr>
              <w:t>Volume scalar between whale and prey density</w:t>
            </w:r>
          </w:p>
        </w:tc>
        <w:tc>
          <w:tcPr>
            <w:tcW w:w="992" w:type="dxa"/>
            <w:tcBorders>
              <w:top w:val="nil"/>
              <w:bottom w:val="single" w:sz="8" w:space="0" w:color="000000"/>
            </w:tcBorders>
            <w:vAlign w:val="center"/>
          </w:tcPr>
          <w:p w14:paraId="438B35F9" w14:textId="013BEDFC" w:rsidR="00950255" w:rsidRPr="00BF0082" w:rsidRDefault="00950255" w:rsidP="0082745D">
            <w:pPr>
              <w:pStyle w:val="NoSpacing"/>
              <w:jc w:val="left"/>
              <w:cnfStyle w:val="000000000000" w:firstRow="0" w:lastRow="0" w:firstColumn="0" w:lastColumn="0" w:oddVBand="0" w:evenVBand="0" w:oddHBand="0" w:evenHBand="0" w:firstRowFirstColumn="0" w:firstRowLastColumn="0" w:lastRowFirstColumn="0" w:lastRowLastColumn="0"/>
              <w:rPr>
                <w:rFonts w:eastAsia="Calibri"/>
                <w:noProof/>
                <w:lang w:val="en-GB"/>
              </w:rPr>
            </w:pPr>
            <w:r w:rsidRPr="00BF0082">
              <w:rPr>
                <w:noProof/>
                <w:lang w:val="en-GB"/>
              </w:rPr>
              <w:t>1·10</w:t>
            </w:r>
            <w:r w:rsidRPr="00BF0082">
              <w:rPr>
                <w:noProof/>
                <w:vertAlign w:val="superscript"/>
                <w:lang w:val="en-GB"/>
              </w:rPr>
              <w:t>6</w:t>
            </w:r>
          </w:p>
        </w:tc>
        <w:tc>
          <w:tcPr>
            <w:tcW w:w="992" w:type="dxa"/>
            <w:tcBorders>
              <w:top w:val="nil"/>
              <w:bottom w:val="single" w:sz="8" w:space="0" w:color="000000"/>
            </w:tcBorders>
            <w:vAlign w:val="center"/>
          </w:tcPr>
          <w:p w14:paraId="4EA270EA" w14:textId="732590B2" w:rsidR="00950255" w:rsidRPr="00BF0082" w:rsidRDefault="00950255" w:rsidP="0082745D">
            <w:pPr>
              <w:pStyle w:val="NoSpacing"/>
              <w:jc w:val="left"/>
              <w:cnfStyle w:val="000000000000" w:firstRow="0" w:lastRow="0" w:firstColumn="0" w:lastColumn="0" w:oddVBand="0" w:evenVBand="0" w:oddHBand="0" w:evenHBand="0" w:firstRowFirstColumn="0" w:firstRowLastColumn="0" w:lastRowFirstColumn="0" w:lastRowLastColumn="0"/>
              <w:rPr>
                <w:rFonts w:eastAsia="Calibri"/>
                <w:noProof/>
                <w:lang w:val="en-GB"/>
              </w:rPr>
            </w:pPr>
            <w:r w:rsidRPr="00BF0082">
              <w:rPr>
                <w:noProof/>
                <w:lang w:val="en-GB"/>
              </w:rPr>
              <w:t>1·10</w:t>
            </w:r>
            <w:r w:rsidRPr="00BF0082">
              <w:rPr>
                <w:noProof/>
                <w:vertAlign w:val="superscript"/>
                <w:lang w:val="en-GB"/>
              </w:rPr>
              <w:t>6</w:t>
            </w:r>
          </w:p>
        </w:tc>
        <w:tc>
          <w:tcPr>
            <w:tcW w:w="1422" w:type="dxa"/>
            <w:tcBorders>
              <w:top w:val="nil"/>
              <w:bottom w:val="single" w:sz="8" w:space="0" w:color="000000"/>
            </w:tcBorders>
            <w:vAlign w:val="center"/>
          </w:tcPr>
          <w:p w14:paraId="48D2AA95" w14:textId="19110A14" w:rsidR="00950255" w:rsidRPr="00BF0082" w:rsidRDefault="009254FC" w:rsidP="0082745D">
            <w:pPr>
              <w:pStyle w:val="NoSpacing"/>
              <w:jc w:val="left"/>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3</w:t>
            </w:r>
          </w:p>
        </w:tc>
      </w:tr>
      <w:tr w:rsidR="00A70B76" w:rsidRPr="00BF0082" w14:paraId="50BCC777" w14:textId="77777777" w:rsidTr="008274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60" w:type="dxa"/>
            <w:gridSpan w:val="6"/>
            <w:tcBorders>
              <w:top w:val="single" w:sz="8" w:space="0" w:color="000000"/>
              <w:bottom w:val="nil"/>
            </w:tcBorders>
            <w:vAlign w:val="center"/>
          </w:tcPr>
          <w:p w14:paraId="38F60223" w14:textId="5F22CD09" w:rsidR="00A70B76" w:rsidRPr="00417E93" w:rsidRDefault="00A70B76" w:rsidP="0082745D">
            <w:pPr>
              <w:pStyle w:val="NoSpacing"/>
              <w:jc w:val="left"/>
              <w:rPr>
                <w:b w:val="0"/>
                <w:bCs w:val="0"/>
                <w:noProof/>
                <w:lang w:val="en-GB"/>
              </w:rPr>
            </w:pPr>
            <w:r w:rsidRPr="00417E93">
              <w:rPr>
                <w:b w:val="0"/>
                <w:bCs w:val="0"/>
                <w:noProof/>
                <w:lang w:val="en-GB"/>
              </w:rPr>
              <w:t>Sources: (1)</w:t>
            </w:r>
            <w:r w:rsidR="0072136A" w:rsidRPr="00417E93">
              <w:rPr>
                <w:b w:val="0"/>
                <w:bCs w:val="0"/>
                <w:noProof/>
                <w:lang w:val="en-GB"/>
              </w:rPr>
              <w:t xml:space="preserve"> </w:t>
            </w:r>
            <w:r w:rsidR="0072136A" w:rsidRPr="00417E93">
              <w:rPr>
                <w:noProof/>
                <w:lang w:val="en-GB"/>
              </w:rPr>
              <w:fldChar w:fldCharType="begin"/>
            </w:r>
            <w:r w:rsidR="00AE7073">
              <w:rPr>
                <w:b w:val="0"/>
                <w:bCs w:val="0"/>
                <w:noProof/>
                <w:lang w:val="en-GB"/>
              </w:rPr>
              <w:instrText xml:space="preserve"> ADDIN ZOTERO_ITEM CSL_CITATION {"citationID":"OyD89U15","properties":{"formattedCitation":"(Mead, 1984)","plainCitation":"(Mead, 1984)","dontUpdate":true,"noteIndex":0},"citationItems":[{"id":1856,"uris":["http://zotero.org/users/local/6qJKLD2C/items/RBLMNIDG"],"uri":["http://zotero.org/users/local/6qJKLD2C/items/RBLMNIDG"],"itemData":{"id":1856,"type":"article-journal","abstract":"Outside of Berardius bairdii and Hyperoodon ampullatus, the two species of ziphiids for which there have been commercial fisheries, little reproductive data are known. Mean length at birth ranges from 210 cm in Mesoplodon europaeus to 450 cm in B. bairdii. Maximum reported lengths range from a low of 430 cm for male Mesoplodon hectori to a high of 1,280 cm for female B. bairdii. Age at attainment of sexual maturity is known only for H. ampullatus and B. bairdii and ranges between 7 and 11 years. The maximum reported age of a ziphiid is 71 years for a male B. bairdii.","container-title":"Report of the International Whaling Commission, Special Issue 6","journalAbbreviation":"Rep Int Whal Commn (Special Issue 6)","language":"en","page":"91-96","source":"Zotero","title":"Survey of Reproductive Data for the Beaked Whales (&lt;i&gt;Ziphiidae&lt;/i&gt;)","author":[{"family":"Mead","given":"James G"}],"issued":{"date-parts":[["1984"]]}}}],"schema":"https://github.com/citation-style-language/schema/raw/master/csl-citation.json"} </w:instrText>
            </w:r>
            <w:r w:rsidR="0072136A" w:rsidRPr="00417E93">
              <w:rPr>
                <w:noProof/>
                <w:lang w:val="en-GB"/>
              </w:rPr>
              <w:fldChar w:fldCharType="separate"/>
            </w:r>
            <w:r w:rsidR="0072136A" w:rsidRPr="00417E93">
              <w:rPr>
                <w:b w:val="0"/>
                <w:bCs w:val="0"/>
                <w:noProof/>
                <w:lang w:val="en-GB"/>
              </w:rPr>
              <w:t>Mead (1984)</w:t>
            </w:r>
            <w:r w:rsidR="0072136A" w:rsidRPr="00417E93">
              <w:rPr>
                <w:noProof/>
                <w:lang w:val="en-GB"/>
              </w:rPr>
              <w:fldChar w:fldCharType="end"/>
            </w:r>
            <w:r w:rsidR="0072136A" w:rsidRPr="00417E93">
              <w:rPr>
                <w:b w:val="0"/>
                <w:bCs w:val="0"/>
                <w:noProof/>
                <w:lang w:val="en-GB"/>
              </w:rPr>
              <w:t>;</w:t>
            </w:r>
            <w:r w:rsidRPr="00417E93">
              <w:rPr>
                <w:b w:val="0"/>
                <w:bCs w:val="0"/>
                <w:noProof/>
                <w:lang w:val="en-GB"/>
              </w:rPr>
              <w:t xml:space="preserve"> (2)</w:t>
            </w:r>
            <w:r w:rsidR="0072136A" w:rsidRPr="00417E93">
              <w:rPr>
                <w:b w:val="0"/>
                <w:bCs w:val="0"/>
                <w:noProof/>
                <w:lang w:val="en-GB"/>
              </w:rPr>
              <w:t xml:space="preserve"> </w:t>
            </w:r>
            <w:r w:rsidR="0072136A" w:rsidRPr="00417E93">
              <w:rPr>
                <w:noProof/>
                <w:lang w:val="en-GB"/>
              </w:rPr>
              <w:fldChar w:fldCharType="begin"/>
            </w:r>
            <w:r w:rsidR="00CF468A" w:rsidRPr="00417E93">
              <w:rPr>
                <w:b w:val="0"/>
                <w:bCs w:val="0"/>
                <w:noProof/>
                <w:lang w:val="en-GB"/>
              </w:rPr>
              <w:instrText xml:space="preserve"> ADDIN ZOTERO_ITEM CSL_CITATION {"citationID":"YxfFAbwM","properties":{"formattedCitation":"(Claridge, 2013)","plainCitation":"(Claridge, 2013)","dontUpdate":true,"noteIndex":0},"citationItems":[{"id":1806,"uris":["http://zotero.org/users/local/6qJKLD2C/items/GCE98GL2"],"uri":["http://zotero.org/users/local/6qJKLD2C/items/GCE98GL2"],"itemData":{"id":1806,"type":"thesis","event-place":"St.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E"}],"issued":{"date-parts":[["2013"]]}}}],"schema":"https://github.com/citation-style-language/schema/raw/master/csl-citation.json"} </w:instrText>
            </w:r>
            <w:r w:rsidR="0072136A" w:rsidRPr="00417E93">
              <w:rPr>
                <w:noProof/>
                <w:lang w:val="en-GB"/>
              </w:rPr>
              <w:fldChar w:fldCharType="separate"/>
            </w:r>
            <w:r w:rsidR="0072136A" w:rsidRPr="00417E93">
              <w:rPr>
                <w:b w:val="0"/>
                <w:bCs w:val="0"/>
                <w:noProof/>
                <w:lang w:val="en-GB"/>
              </w:rPr>
              <w:t>Claridge (2013)</w:t>
            </w:r>
            <w:r w:rsidR="0072136A" w:rsidRPr="00417E93">
              <w:rPr>
                <w:noProof/>
                <w:lang w:val="en-GB"/>
              </w:rPr>
              <w:fldChar w:fldCharType="end"/>
            </w:r>
            <w:r w:rsidRPr="00417E93">
              <w:rPr>
                <w:b w:val="0"/>
                <w:bCs w:val="0"/>
                <w:noProof/>
                <w:lang w:val="en-GB"/>
              </w:rPr>
              <w:t xml:space="preserve">; </w:t>
            </w:r>
            <w:r w:rsidR="002E55A1" w:rsidRPr="00417E93">
              <w:rPr>
                <w:b w:val="0"/>
                <w:bCs w:val="0"/>
                <w:noProof/>
                <w:lang w:val="en-GB"/>
              </w:rPr>
              <w:t>(3)</w:t>
            </w:r>
            <w:r w:rsidR="0072136A" w:rsidRPr="00417E93">
              <w:rPr>
                <w:b w:val="0"/>
                <w:bCs w:val="0"/>
                <w:noProof/>
                <w:lang w:val="en-GB"/>
              </w:rPr>
              <w:t xml:space="preserve"> </w:t>
            </w:r>
            <w:r w:rsidR="0072136A" w:rsidRPr="00417E93">
              <w:rPr>
                <w:noProof/>
                <w:lang w:val="en-GB"/>
              </w:rPr>
              <w:fldChar w:fldCharType="begin"/>
            </w:r>
            <w:r w:rsidR="00CF468A" w:rsidRPr="00417E93">
              <w:rPr>
                <w:b w:val="0"/>
                <w:bCs w:val="0"/>
                <w:noProof/>
                <w:lang w:val="en-GB"/>
              </w:rPr>
              <w:instrText xml:space="preserve"> ADDIN ZOTERO_ITEM CSL_CITATION {"citationID":"EophI0rL","properties":{"formattedCitation":"(Hin et al., 2019)","plainCitation":"(Hin et al., 2019)","dontUpdate":true,"noteIndex":0},"citationItems":[{"id":1888,"uris":["http://zotero.org/users/local/6qJKLD2C/items/3DYHU9SD"],"uri":["http://zotero.org/users/local/6qJKLD2C/items/3DYHU9SD"],"itemData":{"id":1888,"type":"article-journal","abstract":"Understanding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w:instrText>
            </w:r>
            <w:r w:rsidR="00CF468A" w:rsidRPr="00417E93">
              <w:rPr>
                <w:b w:val="0"/>
                <w:bCs w:val="0"/>
                <w:noProof/>
                <w:lang w:val="nl-NL"/>
              </w:rPr>
              <w:instrText xml:space="preserve">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w:instrText>
            </w:r>
            <w:r w:rsidR="00CF468A" w:rsidRPr="00417E93">
              <w:rPr>
                <w:rFonts w:ascii="Cambria Math" w:hAnsi="Cambria Math" w:cs="Cambria Math"/>
                <w:b w:val="0"/>
                <w:bCs w:val="0"/>
                <w:noProof/>
                <w:lang w:val="nl-NL"/>
              </w:rPr>
              <w:instrText>‐</w:instrText>
            </w:r>
            <w:r w:rsidR="00CF468A" w:rsidRPr="00417E93">
              <w:rPr>
                <w:b w:val="0"/>
                <w:bCs w:val="0"/>
                <w:noProof/>
                <w:lang w:val="nl-NL"/>
              </w:rPr>
              <w:instrText>energetic modeling of medium</w:instrText>
            </w:r>
            <w:r w:rsidR="00CF468A" w:rsidRPr="00417E93">
              <w:rPr>
                <w:rFonts w:ascii="Cambria Math" w:hAnsi="Cambria Math" w:cs="Cambria Math"/>
                <w:b w:val="0"/>
                <w:bCs w:val="0"/>
                <w:noProof/>
                <w:lang w:val="nl-NL"/>
              </w:rPr>
              <w:instrText>‐</w:instrText>
            </w:r>
            <w:r w:rsidR="00CF468A" w:rsidRPr="00417E93">
              <w:rPr>
                <w:b w:val="0"/>
                <w:bCs w:val="0"/>
                <w:noProof/>
                <w:lang w:val="nl-NL"/>
              </w:rPr>
              <w:instrText xml:space="preserve">sized cetaceans shows high sensitivity to disturbance in seasons of low resource supply","URL":"https://onlinelibrary.wiley.com/doi/abs/10.1002/eap.1903","volume":"29","author":[{"family":"Hin","given":"Vincent"},{"family":"Harwood","given":"John"},{"family":"De Roos","given":"André M."}],"accessed":{"date-parts":[["2020",5,6]]},"issued":{"date-parts":[["2019",7]]}}}],"schema":"https://github.com/citation-style-language/schema/raw/master/csl-citation.json"} </w:instrText>
            </w:r>
            <w:r w:rsidR="0072136A" w:rsidRPr="00417E93">
              <w:rPr>
                <w:noProof/>
                <w:lang w:val="en-GB"/>
              </w:rPr>
              <w:fldChar w:fldCharType="separate"/>
            </w:r>
            <w:r w:rsidR="0072136A" w:rsidRPr="00417E93">
              <w:rPr>
                <w:b w:val="0"/>
                <w:bCs w:val="0"/>
                <w:noProof/>
                <w:lang w:val="nl-NL"/>
              </w:rPr>
              <w:t>Hin et al. (2019)</w:t>
            </w:r>
            <w:r w:rsidR="0072136A" w:rsidRPr="00417E93">
              <w:rPr>
                <w:noProof/>
                <w:lang w:val="en-GB"/>
              </w:rPr>
              <w:fldChar w:fldCharType="end"/>
            </w:r>
            <w:r w:rsidRPr="00417E93">
              <w:rPr>
                <w:b w:val="0"/>
                <w:bCs w:val="0"/>
                <w:noProof/>
                <w:lang w:val="nl-NL"/>
              </w:rPr>
              <w:t xml:space="preserve">; </w:t>
            </w:r>
            <w:r w:rsidR="00A521A6" w:rsidRPr="00417E93">
              <w:rPr>
                <w:b w:val="0"/>
                <w:bCs w:val="0"/>
                <w:noProof/>
                <w:lang w:val="nl-NL"/>
              </w:rPr>
              <w:t xml:space="preserve">(4) </w:t>
            </w:r>
            <w:r w:rsidR="0072136A" w:rsidRPr="00417E93">
              <w:rPr>
                <w:noProof/>
                <w:lang w:val="en-GB"/>
              </w:rPr>
              <w:fldChar w:fldCharType="begin"/>
            </w:r>
            <w:r w:rsidR="00AE7073">
              <w:rPr>
                <w:b w:val="0"/>
                <w:bCs w:val="0"/>
                <w:noProof/>
                <w:lang w:val="nl-NL"/>
              </w:rPr>
              <w:instrText xml:space="preserve"> ADDIN ZOTERO_ITEM CSL_CITATION {"citationID":"2KnOIguX","properties":{"formattedCitation":"(New et al., 2013)","plainCitation":"(New et al., 2013)","dontUpdate":true,"noteIndex":0},"citationItems":[{"id":1951,"uris":["http://zotero.org/users/local/6qJKLD2C/items/KM2VZ4HH"],"uri":["http://zotero.org/users/local/6qJKLD2C/items/KM2VZ4HH"],"itemData":{"id":1951,"type":"article-journal","abstract":"Mass stranding of several species of beaked whales (family Ziphiidae) associated with exposure to anthropogenic sounds has raised concern for the conservation of these species. However, little is known about the species’ life histories, prey or habitat requirements. Without this knowledge, it becomes difficult to assess the effects of anthropogenic sound, since there is no way to determine whether the disturbance is impacting the species’ physical or environmental requirements. Here we take a bioenergetics approach to address this gap in our knowledge, as the elusive, deep-diving nature of beaked whales has made it hard to study these effects directly. We develop a model for Ziphiidae linking feeding energetics to the species’ requirements for survival and reproduction, since these life history traits would be the most likely to be impacted by nonlethal disturbances. Our models suggest that beaked whale reproduction requires energy dense prey, and that poor resource availability would lead to an extension of the inter-calving interval. Further, given current information, it seems that some beaked whale species require relatively high quality habitat in order to meet their requirements for survival and reproduction. As a result, even a small non-lethal disturbance that results in displacement of whales from preferred habitats could potentially impact a population if a significant proportion of that population was affected. We explored the impact of varying ecological parameters and model assumptions on survival and reproduction, and find that calf and fetus survival appear more readily affected than the survival of adult females.","container-title":"PLoS ONE","DOI":"10.1371/journal.pone.0068725","ISSN":"1932-6203","issue":"7","journalAbbreviation":"PLoS ONE","language":"en","page":"e68725","source":"DOI.org (Crossref)","title":"Using energetic models to investigate the survival and reproduction of beaked whales (family &lt;i&gt;Ziphiidae&lt;/i&gt;)","volume":"8","author":[{"family":"New","given":"Leslie F."},{"family":"Moretti","given":"David J."},{"family":"Hooker","given":"Sascha K."},{"family":"Costa","given":"Daniel P."},{"family":"Simmons","given":"Samantha E."}],"issued":{"date-parts":[["2013",7,17]]}}}],"schema":"https://github.com/citation-style-language/schema/raw/master/csl-citation.json"} </w:instrText>
            </w:r>
            <w:r w:rsidR="0072136A" w:rsidRPr="00417E93">
              <w:rPr>
                <w:noProof/>
                <w:lang w:val="en-GB"/>
              </w:rPr>
              <w:fldChar w:fldCharType="separate"/>
            </w:r>
            <w:r w:rsidR="0072136A" w:rsidRPr="00417E93">
              <w:rPr>
                <w:b w:val="0"/>
                <w:bCs w:val="0"/>
                <w:noProof/>
                <w:lang w:val="nl-NL"/>
              </w:rPr>
              <w:t>New et al. (2013)</w:t>
            </w:r>
            <w:r w:rsidR="0072136A" w:rsidRPr="00417E93">
              <w:rPr>
                <w:noProof/>
                <w:lang w:val="en-GB"/>
              </w:rPr>
              <w:fldChar w:fldCharType="end"/>
            </w:r>
            <w:r w:rsidR="0072136A" w:rsidRPr="00417E93">
              <w:rPr>
                <w:b w:val="0"/>
                <w:bCs w:val="0"/>
                <w:noProof/>
                <w:lang w:val="nl-NL"/>
              </w:rPr>
              <w:t>;</w:t>
            </w:r>
            <w:r w:rsidR="00A521A6" w:rsidRPr="00417E93">
              <w:rPr>
                <w:b w:val="0"/>
                <w:bCs w:val="0"/>
                <w:noProof/>
                <w:lang w:val="nl-NL"/>
              </w:rPr>
              <w:t xml:space="preserve"> (5)</w:t>
            </w:r>
            <w:r w:rsidR="0072136A" w:rsidRPr="00417E93">
              <w:rPr>
                <w:b w:val="0"/>
                <w:bCs w:val="0"/>
                <w:noProof/>
                <w:lang w:val="nl-NL"/>
              </w:rPr>
              <w:t xml:space="preserve"> </w:t>
            </w:r>
            <w:r w:rsidR="0072136A" w:rsidRPr="00417E93">
              <w:rPr>
                <w:noProof/>
                <w:lang w:val="en-GB"/>
              </w:rPr>
              <w:fldChar w:fldCharType="begin"/>
            </w:r>
            <w:r w:rsidR="00CF468A" w:rsidRPr="00417E93">
              <w:rPr>
                <w:b w:val="0"/>
                <w:bCs w:val="0"/>
                <w:noProof/>
                <w:lang w:val="nl-NL"/>
              </w:rPr>
              <w:instrText xml:space="preserve"> ADDIN ZOTERO_ITEM CSL_CITATION {"citationID":"1tHpEjCX","properties":{"formattedCitation":"(MacLeod, 2006)","plainCitation":"(MacLeod, 2006)","dontUpdate":true,"noteIndex":0},"citationItems":[{"id":2215,"uris":["http://zotero.org/users/local/6qJKLD2C/items/H5IAG5DG"],"uri":["http://zotero.org/users/local/6qJKLD2C/items/H5IAG5DG"],"itemData":{"id":2215,"type":"article-journal","container-title":"Journal of Cetacean Research and Management","issue":"3","page":"301-308","title":"How big is a beaked whale? A review of body length and sexual size dimorphism in the family Ziphiidae","volume":"7","author":[{"family":"MacLeod","given":"Colin D."}],"issued":{"date-parts":[["2006"]]}}}],"schema":"https://github.com/citation-style-language/schema/raw/master/csl-citation.json"} </w:instrText>
            </w:r>
            <w:r w:rsidR="0072136A" w:rsidRPr="00417E93">
              <w:rPr>
                <w:noProof/>
                <w:lang w:val="en-GB"/>
              </w:rPr>
              <w:fldChar w:fldCharType="separate"/>
            </w:r>
            <w:r w:rsidR="0072136A" w:rsidRPr="00417E93">
              <w:rPr>
                <w:b w:val="0"/>
                <w:bCs w:val="0"/>
                <w:noProof/>
                <w:lang w:val="nl-NL"/>
              </w:rPr>
              <w:t>MacLeod, (2006)</w:t>
            </w:r>
            <w:r w:rsidR="0072136A" w:rsidRPr="00417E93">
              <w:rPr>
                <w:noProof/>
                <w:lang w:val="en-GB"/>
              </w:rPr>
              <w:fldChar w:fldCharType="end"/>
            </w:r>
            <w:r w:rsidR="00A521A6" w:rsidRPr="00417E93">
              <w:rPr>
                <w:b w:val="0"/>
                <w:bCs w:val="0"/>
                <w:noProof/>
                <w:lang w:val="nl-NL"/>
              </w:rPr>
              <w:t xml:space="preserve">; (6) </w:t>
            </w:r>
            <w:r w:rsidR="00413640" w:rsidRPr="00417E93">
              <w:rPr>
                <w:noProof/>
                <w:lang w:val="en-GB"/>
              </w:rPr>
              <w:fldChar w:fldCharType="begin"/>
            </w:r>
            <w:r w:rsidR="00CF468A" w:rsidRPr="00417E93">
              <w:rPr>
                <w:b w:val="0"/>
                <w:bCs w:val="0"/>
                <w:noProof/>
                <w:lang w:val="nl-NL"/>
              </w:rPr>
              <w:instrText xml:space="preserve"> ADDIN ZOTERO_ITEM CSL_CITATION {"citationID":"hTBRQu1L","properties":{"formattedCitation":"(Nishiwaki and Oguro, 1972)","plainCitation":"(Nishiwaki and Oguro, 1972)","dontUpdate":true,"noteIndex":0},"citationItems":[{"id":2212,"uris":["http://zotero.org/users/local/6qJKLD2C/items/565RXQWS"],"uri":["http://zotero.org/users/local/6qJKLD2C/items/565RXQWS"],"itemData":{"id":2212,"type":"article-journal","container-title":"Sci. Rep. Whales Res. Inst.","issue":"24","page":"35-41","title":"Catch of the Cuvier's Beaked Whales Off Japan in Recent Years","author":[{"family":"Nishiwaki","given":"Masaharu"},{"family":"Oguro","given":"Nobuo"}],"issued":{"date-parts":[["1972"]]}}}],"schema":"https://github.com/citation-style-language/schema/raw/master/csl-citation.json"} </w:instrText>
            </w:r>
            <w:r w:rsidR="00413640" w:rsidRPr="00417E93">
              <w:rPr>
                <w:noProof/>
                <w:lang w:val="en-GB"/>
              </w:rPr>
              <w:fldChar w:fldCharType="separate"/>
            </w:r>
            <w:r w:rsidR="00413640" w:rsidRPr="00417E93">
              <w:rPr>
                <w:b w:val="0"/>
                <w:bCs w:val="0"/>
                <w:noProof/>
                <w:lang w:val="nl-NL"/>
              </w:rPr>
              <w:t>Nishiwaki and Oguro (1972)</w:t>
            </w:r>
            <w:r w:rsidR="00413640" w:rsidRPr="00417E93">
              <w:rPr>
                <w:noProof/>
                <w:lang w:val="en-GB"/>
              </w:rPr>
              <w:fldChar w:fldCharType="end"/>
            </w:r>
            <w:r w:rsidR="00A521A6" w:rsidRPr="00417E93">
              <w:rPr>
                <w:b w:val="0"/>
                <w:bCs w:val="0"/>
                <w:lang w:val="nl-NL"/>
              </w:rPr>
              <w:t>; (7)</w:t>
            </w:r>
            <w:r w:rsidR="00FC4DF9" w:rsidRPr="00417E93">
              <w:rPr>
                <w:b w:val="0"/>
                <w:bCs w:val="0"/>
                <w:lang w:val="nl-NL"/>
              </w:rPr>
              <w:t xml:space="preserve"> </w:t>
            </w:r>
            <w:r w:rsidR="008043B9" w:rsidRPr="00417E93">
              <w:fldChar w:fldCharType="begin"/>
            </w:r>
            <w:r w:rsidR="00CF468A" w:rsidRPr="00417E93">
              <w:rPr>
                <w:b w:val="0"/>
                <w:bCs w:val="0"/>
                <w:lang w:val="nl-NL"/>
              </w:rPr>
              <w:instrText xml:space="preserve"> ADDIN ZOTERO_ITEM CSL_CITATION {"citationID":"RWxIOjf0","properties":{"formattedCitation":"(Pabst et al., 2016)","plainCitation":"(Pabst et al., 2016)","dontUpdate":true,"noteIndex":0},"citationItems":[{"id":1664,"uris":["http://zotero.org/users/local/6qJKLD2C/items/RAHP5PZI"],"uri":["http://zotero.org/users/local/6qJKLD2C/items/RAHP5PZI"],"itemData":{"id":1664,"type":"article-journal","container-title":"Integrative and Comparative Biology","DOI":"10.1093/icb/icw126","ISSN":"1540-7063, 1557-7023","issue":"6","journalAbbreviation":"Integr. Comp. Biol.","language":"en","page":"1337-1348","source":"DOI.org (Crossref)","title":"How to Build a Deep Diver: The Extreme Morphology of Mesoplodonts","title-short":"How to Build a Deep Diver","volume":"56","author":[{"family":"Pabst","given":"D. Ann"},{"family":"McLellan","given":"William A."},{"family":"Rommel","given":"Sentiel A."}],"issued":{"date-parts":[["2016",12]]}}}],"schema":"https://github.com/citation-style-language/schema/raw/master/csl-citation.json"} </w:instrText>
            </w:r>
            <w:r w:rsidR="008043B9" w:rsidRPr="00417E93">
              <w:fldChar w:fldCharType="separate"/>
            </w:r>
            <w:r w:rsidR="008043B9" w:rsidRPr="00417E93">
              <w:rPr>
                <w:b w:val="0"/>
                <w:bCs w:val="0"/>
                <w:noProof/>
                <w:lang w:val="nl-NL"/>
              </w:rPr>
              <w:t>Pabst et al., (2016)</w:t>
            </w:r>
            <w:r w:rsidR="008043B9" w:rsidRPr="00417E93">
              <w:fldChar w:fldCharType="end"/>
            </w:r>
            <w:r w:rsidR="00A31A83" w:rsidRPr="00417E93">
              <w:rPr>
                <w:b w:val="0"/>
                <w:bCs w:val="0"/>
                <w:lang w:val="nl-NL"/>
              </w:rPr>
              <w:t xml:space="preserve">; (8) </w:t>
            </w:r>
            <w:r w:rsidR="00FB5A52" w:rsidRPr="00417E93">
              <w:fldChar w:fldCharType="begin"/>
            </w:r>
            <w:r w:rsidR="00CF468A" w:rsidRPr="00417E93">
              <w:rPr>
                <w:b w:val="0"/>
                <w:bCs w:val="0"/>
                <w:lang w:val="nl-NL"/>
              </w:rPr>
              <w:instrText xml:space="preserve"> ADDIN ZOTERO_ITEM CSL_CITATION {"citationID":"aN4kNZFb","properties":{"formattedCitation":"(Southall et al., 2019)","plainCitation":"(Southall et al., 2019)","dontUpdate":true,"noteIndex":0},"citationItems":[{"id":2002,"uris":["http://zotero.org/users/local/6qJKLD2C/items/XG93LS5P"],"uri":["http://zotero.org/users/local/6qJKLD2C/items/XG93LS5P"],"itemData":{"id":2002,"type":"article-journal","container-title":"Jou</w:instrText>
            </w:r>
            <w:r w:rsidR="00CF468A" w:rsidRPr="00417E93">
              <w:rPr>
                <w:b w:val="0"/>
                <w:bCs w:val="0"/>
              </w:rPr>
              <w:instrText>rnal of Applied Ecology","DOI":"10.1111/1365-2664.13334","ISSN":"0021-8901, 1365-2664","issue":"5","journalAbbreviation":"J Appl Ecol","language":"en","page":"1040-1049","source":"DOI.org (Crossref)","title":"Quantifying deep</w:instrText>
            </w:r>
            <w:r w:rsidR="00CF468A" w:rsidRPr="00417E93">
              <w:rPr>
                <w:rFonts w:ascii="Cambria Math" w:hAnsi="Cambria Math" w:cs="Cambria Math"/>
                <w:b w:val="0"/>
                <w:bCs w:val="0"/>
              </w:rPr>
              <w:instrText>‐</w:instrText>
            </w:r>
            <w:r w:rsidR="00CF468A" w:rsidRPr="00417E93">
              <w:rPr>
                <w:b w:val="0"/>
                <w:bCs w:val="0"/>
              </w:rPr>
              <w:instrText>sea predator–prey dynamics: Implications of biological heterogeneity for beaked whale conservation","title-short":"Quantifying deep</w:instrText>
            </w:r>
            <w:r w:rsidR="00CF468A" w:rsidRPr="00417E93">
              <w:rPr>
                <w:rFonts w:ascii="Cambria Math" w:hAnsi="Cambria Math" w:cs="Cambria Math"/>
                <w:b w:val="0"/>
                <w:bCs w:val="0"/>
              </w:rPr>
              <w:instrText>‐</w:instrText>
            </w:r>
            <w:r w:rsidR="00CF468A" w:rsidRPr="00417E93">
              <w:rPr>
                <w:b w:val="0"/>
                <w:bCs w:val="0"/>
              </w:rPr>
              <w:instrText>sea predator–prey dynamics","volume":"56","author":[{"family":"Southall","given":"Brandon L."},{"family":"Benoit</w:instrText>
            </w:r>
            <w:r w:rsidR="00CF468A" w:rsidRPr="00417E93">
              <w:rPr>
                <w:rFonts w:ascii="Cambria Math" w:hAnsi="Cambria Math" w:cs="Cambria Math"/>
                <w:b w:val="0"/>
                <w:bCs w:val="0"/>
              </w:rPr>
              <w:instrText>‐</w:instrText>
            </w:r>
            <w:r w:rsidR="00CF468A" w:rsidRPr="00417E93">
              <w:rPr>
                <w:b w:val="0"/>
                <w:bCs w:val="0"/>
              </w:rPr>
              <w:instrText>Bird","given":"Kelly J."},{"family":"Moline","given":"Mark A."},{"family":"Moretti","given":"David"}],"editor":[{"family":"Januchowski</w:instrText>
            </w:r>
            <w:r w:rsidR="00CF468A" w:rsidRPr="00417E93">
              <w:rPr>
                <w:rFonts w:ascii="Cambria Math" w:hAnsi="Cambria Math" w:cs="Cambria Math"/>
                <w:b w:val="0"/>
                <w:bCs w:val="0"/>
              </w:rPr>
              <w:instrText>‐</w:instrText>
            </w:r>
            <w:r w:rsidR="00CF468A" w:rsidRPr="00417E93">
              <w:rPr>
                <w:b w:val="0"/>
                <w:bCs w:val="0"/>
              </w:rPr>
              <w:instrText xml:space="preserve">Hartley","given":"Stephanie"}],"issued":{"date-parts":[["2019",5]]}}}],"schema":"https://github.com/citation-style-language/schema/raw/master/csl-citation.json"} </w:instrText>
            </w:r>
            <w:r w:rsidR="00FB5A52" w:rsidRPr="00417E93">
              <w:fldChar w:fldCharType="separate"/>
            </w:r>
            <w:r w:rsidR="00FB5A52" w:rsidRPr="00417E93">
              <w:rPr>
                <w:b w:val="0"/>
                <w:bCs w:val="0"/>
                <w:noProof/>
              </w:rPr>
              <w:t>Southall et al. (2019)</w:t>
            </w:r>
            <w:r w:rsidR="00FB5A52" w:rsidRPr="00417E93">
              <w:fldChar w:fldCharType="end"/>
            </w:r>
            <w:r w:rsidR="00A31A83" w:rsidRPr="00417E93">
              <w:rPr>
                <w:b w:val="0"/>
                <w:bCs w:val="0"/>
              </w:rPr>
              <w:t xml:space="preserve">; (9) </w:t>
            </w:r>
            <w:r w:rsidR="006D08B0" w:rsidRPr="00417E93">
              <w:fldChar w:fldCharType="begin"/>
            </w:r>
            <w:r w:rsidR="00CF468A" w:rsidRPr="00417E93">
              <w:rPr>
                <w:b w:val="0"/>
                <w:bCs w:val="0"/>
              </w:rPr>
              <w:instrText xml:space="preserve"> ADDIN ZOTERO_ITEM CSL_CITATION {"citationID":"Q2SMkXU6","properties":{"formattedCitation":"(Benoit-Bird et al., 2020)","plainCitation":"(Benoit-Bird et al., 2020)","dontUpdate":true,"noteIndex":0},"citationItems":[{"id":2113,"uris":["http://zotero.org/users/local/6qJKLD2C/items/SZFKMM7P"],"uri":["http://zotero.org/users/local/6qJKLD2C/items/SZFKMM7P"],"itemData":{"id":2113,"type":"article-journal","abstract":"Anthropogenic noise is increasingly recognized as a potentially significant stressor for marine animals. Beaked whales, deep-diving cephalopod predators, have been disproportionally present in atypical mass stranding events coincident with military sonar exercises, while frequently disturbed populations that do not strand may have reductions in fitness. We present in situ measures of prey availability, a key factor affecting fitness, for 2 distinct populations of Mesoplodon densirostris: one on a US Navy range in The Bahamas and one nearby in an area less exposed to sonar. The variables most strongly correlated with beaked whale habitat use were related to the distribution of deep-sea squid (mode spacing, peak depth, and 100 m scale variability). All squid metrics were more favorable for beaked whales at the less exposed site than those on the range. To develop a generalized functional relationship between prey resources and beaked whale habitat use, data from The Bahamas were combined with comparable data from another Navy range and the larger beaked whale, Ziphius cavirostris. A powerlaw relationship was observed between a normalized metric of prey quality and whale habitat use. A critical threshold in prey characteristics, below which beaked whales appear unlikely to be successful, but above which small changes in resource availability enable large gains for predators, was observed. This implies that modest changes in the behavior of individual whales associated with disturbance can have consequential population effects. Our results elucidate the ecological realities of these elusive and sensitive beaked whales, and the importance of environmental context in effective spatial planning for the deep sea.","container-title":"Marine Ecology Progress Series","DOI":"10.3354/meps13521","ISSN":"0171-8630, 1616-1599","journalAbbreviation":"Mar. Ecol. Prog. Ser.","language":"en","source":"DOI.org (Crossref)","title":"Critical threshold identified in the functional relationship between beaked whales and their prey","URL":"https://www.int-res.com/prepress/m13521.html","author":[{"family":"Benoit-Bird","given":"Kj"},{"family":"Southall","given":"Bl"},{"family":"Moline","given":"Ma"},{"family":"Claridge","given":"De"},{"family":"Dunn","given":"Ca"},{"family":"Dolan","given":"Ka"},{"family":"Moretti","given":"Dj"}],"accessed":{"date-parts":[["2020",12,17]]},"issued":{"date-parts":[["2020"]]}}}],"schema":"https://github.com/citation-style-language/schema/raw/master/csl-citation.json"} </w:instrText>
            </w:r>
            <w:r w:rsidR="006D08B0" w:rsidRPr="00417E93">
              <w:fldChar w:fldCharType="separate"/>
            </w:r>
            <w:r w:rsidR="006D08B0" w:rsidRPr="00417E93">
              <w:rPr>
                <w:b w:val="0"/>
                <w:bCs w:val="0"/>
                <w:noProof/>
              </w:rPr>
              <w:t>Benoit-Bird et al., (2020)</w:t>
            </w:r>
            <w:r w:rsidR="006D08B0" w:rsidRPr="00417E93">
              <w:fldChar w:fldCharType="end"/>
            </w:r>
            <w:r w:rsidR="00521EE3">
              <w:rPr>
                <w:b w:val="0"/>
                <w:bCs w:val="0"/>
              </w:rPr>
              <w:t xml:space="preserve">; (10) </w:t>
            </w:r>
            <w:r w:rsidR="00521EE3">
              <w:rPr>
                <w:b w:val="0"/>
                <w:bCs w:val="0"/>
                <w:noProof/>
              </w:rPr>
              <w:t>Tyack et al.</w:t>
            </w:r>
            <w:r w:rsidR="00521EE3">
              <w:rPr>
                <w:b w:val="0"/>
                <w:bCs w:val="0"/>
              </w:rPr>
              <w:fldChar w:fldCharType="begin"/>
            </w:r>
            <w:r w:rsidR="00521EE3">
              <w:rPr>
                <w:b w:val="0"/>
                <w:bCs w:val="0"/>
              </w:rPr>
              <w:instrText xml:space="preserve"> ADDIN ZOTERO_ITEM CSL_CITATION {"citationID":"WatlxwWZ","properties":{"formattedCitation":"(2006)","plainCitation":"(2006)","noteIndex":0},"citationItems":[{"id":1648,"uris":["http://zotero.org/users/local/6qJKLD2C/items/4P4BVC66"],"uri":["http://zotero.org/users/local/6qJKLD2C/items/4P4BVC66"],"itemData":{"id":1648,"type":"article-journal","abstract":"Summary Sound-and-orientation recording tags (DTAGs) were used to study 10 beaked whales of two poorly known species, Ziphius cavirostris (Zc) and Mesoplodon densirostris (Md). Acoustic behaviour in the deep foraging dives performed by both species (Zc: 28 dives by seven individuals; Md: 16 dives by three individuals) shows that they hunt by echolocation in deep water between 222 and 1885·m, attempting to capture about 30 prey/dive. This food source is so deep that the average foraging dives were deeper (Zc: 1070·m; Md: 835·m) and longer (Zc: 58·min; Md: 47·min) than reported for any other air-breathing species. A series of shallower dives, containing no indications of foraging, followed most deep foraging dives. The average interval between deep foraging dives was 63·min for Zc and 92·min for Md. This long an interval may be required for beaked whales to recover from an oxygen debt accrued in the deep foraging dives, which last about twice the estimated aerobic dive limit. Recent reports of gas emboli in beaked whales stranded during naval sonar exercises have led to the hypothesis that their deep-diving may make them especially vulnerable to decompression. Using current models of breath-hold diving, we infer that their natural diving behaviour is inconsistent with known problems of acute nitrogen supersaturation and embolism. If the assumptions of these models are correct for beaked whales, then possible decompression problems are more likely to result from an abnormal behavioural response to sonar.","container-title":"Journal of Experimental Biology","DOI":"10.1242/jeb.02505","ISSN":"0022-0949, 1477-9145","issue":"21","journalAbbreviation":"Journal of Experimental Biology","language":"en","page":"4238-4253","source":"DOI.org (Crossref)","title":"Extreme diving of beaked whales","volume":"209","author":[{"family":"Tyack","given":"P. L."},{"family":"Johnson","given":"M."},{"family":"Soto","given":"N. A."},{"family":"Sturlese","given":"A."},{"family":"Madsen","given":"P. T."}],"issued":{"date-parts":[["2006",11,1]]}},"suppress-author":true}],"schema":"https://github.com/citation-style-language/schema/raw/master/csl-citation.json"} </w:instrText>
            </w:r>
            <w:r w:rsidR="00521EE3">
              <w:rPr>
                <w:b w:val="0"/>
                <w:bCs w:val="0"/>
              </w:rPr>
              <w:fldChar w:fldCharType="separate"/>
            </w:r>
            <w:r w:rsidR="00521EE3">
              <w:rPr>
                <w:b w:val="0"/>
                <w:bCs w:val="0"/>
                <w:noProof/>
              </w:rPr>
              <w:t>(2006)</w:t>
            </w:r>
            <w:r w:rsidR="00521EE3">
              <w:rPr>
                <w:b w:val="0"/>
                <w:bCs w:val="0"/>
              </w:rPr>
              <w:fldChar w:fldCharType="end"/>
            </w:r>
            <w:r w:rsidR="00521EE3">
              <w:rPr>
                <w:b w:val="0"/>
                <w:bCs w:val="0"/>
              </w:rPr>
              <w:t>.</w:t>
            </w:r>
            <w:r w:rsidR="00A31A83" w:rsidRPr="00417E93">
              <w:rPr>
                <w:b w:val="0"/>
                <w:bCs w:val="0"/>
              </w:rPr>
              <w:t xml:space="preserve"> </w:t>
            </w:r>
          </w:p>
        </w:tc>
      </w:tr>
    </w:tbl>
    <w:p w14:paraId="06C1312F" w14:textId="78BAB5F0" w:rsidR="008A4D16" w:rsidRPr="0082745D" w:rsidRDefault="007C1D8B" w:rsidP="0082745D">
      <w:r w:rsidRPr="0082745D">
        <w:t xml:space="preserve">The parameter </w:t>
      </w:r>
      <m:oMath>
        <m:sSub>
          <m:sSubPr>
            <m:ctrlPr>
              <w:rPr>
                <w:rFonts w:ascii="Cambria Math" w:hAnsi="Cambria Math"/>
              </w:rPr>
            </m:ctrlPr>
          </m:sSubPr>
          <m:e>
            <m:r>
              <w:rPr>
                <w:rFonts w:ascii="Cambria Math" w:hAnsi="Cambria Math"/>
              </w:rPr>
              <m:t>σ</m:t>
            </m:r>
          </m:e>
          <m:sub>
            <m:r>
              <w:rPr>
                <w:rFonts w:ascii="Cambria Math" w:hAnsi="Cambria Math"/>
              </w:rPr>
              <m:t>G</m:t>
            </m:r>
          </m:sub>
        </m:sSub>
      </m:oMath>
      <w:r w:rsidRPr="0082745D">
        <w:t xml:space="preserve"> denote the energetics cost of growing one kg of </w:t>
      </w:r>
      <w:r w:rsidR="00813B3C" w:rsidRPr="0082745D">
        <w:t>structural</w:t>
      </w:r>
      <w:r w:rsidRPr="0082745D">
        <w:t xml:space="preserve"> mass. For beaked whales, no empirical estimates are available for this parameter, but for </w:t>
      </w:r>
      <w:r w:rsidRPr="00A840DF">
        <w:rPr>
          <w:i/>
          <w:iCs/>
        </w:rPr>
        <w:t>Gm</w:t>
      </w:r>
      <w:r w:rsidRPr="0082745D">
        <w:t xml:space="preserve"> it was derived to be around 30 MJ </w:t>
      </w:r>
      <w:r w:rsidR="002733F2" w:rsidRPr="0082745D">
        <w:t>kg</w:t>
      </w:r>
      <w:r w:rsidR="002733F2" w:rsidRPr="00D35D89">
        <w:rPr>
          <w:vertAlign w:val="superscript"/>
        </w:rPr>
        <w:t>-1</w:t>
      </w:r>
      <w:r w:rsidRPr="0082745D">
        <w:t xml:space="preserve"> by</w:t>
      </w:r>
      <w:r w:rsidR="00C81D67" w:rsidRPr="0082745D">
        <w:t xml:space="preserve"> </w:t>
      </w:r>
      <w:r w:rsidR="00C81D67" w:rsidRPr="0082745D">
        <w:fldChar w:fldCharType="begin"/>
      </w:r>
      <w:r w:rsidR="00CF468A" w:rsidRPr="0082745D">
        <w:instrText xml:space="preserve"> ADDIN ZOTERO_ITEM CSL_CITATION {"citationID":"GYnXE3ps","properties":{"formattedCitation":"(Hin et al., 2019)","plainCitation":"(Hin et al., 2019)","dontUpdate":true,"noteIndex":0},"citationItems":[{"id":1888,"uris":["http://zotero.org/users/local/6qJKLD2C/items/3DYHU9SD"],"uri":["http://zotero.org/users/local/6qJKLD2C/items/3DYHU9SD"],"itemData":{"id":1888,"type":"article-journal","abstract":"Understanding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w:instrText>
      </w:r>
      <w:r w:rsidR="00CF468A" w:rsidRPr="0082745D">
        <w:rPr>
          <w:rFonts w:ascii="Cambria Math" w:hAnsi="Cambria Math" w:cs="Cambria Math"/>
        </w:rPr>
        <w:instrText>‐</w:instrText>
      </w:r>
      <w:r w:rsidR="00CF468A" w:rsidRPr="0082745D">
        <w:instrText>energetic modeling of medium</w:instrText>
      </w:r>
      <w:r w:rsidR="00CF468A" w:rsidRPr="0082745D">
        <w:rPr>
          <w:rFonts w:ascii="Cambria Math" w:hAnsi="Cambria Math" w:cs="Cambria Math"/>
        </w:rPr>
        <w:instrText>‐</w:instrText>
      </w:r>
      <w:r w:rsidR="00CF468A" w:rsidRPr="0082745D">
        <w:instrText xml:space="preserve">sized cetaceans shows high sensitivity to disturbance in seasons of low resource supply","URL":"https://onlinelibrary.wiley.com/doi/abs/10.1002/eap.1903","volume":"29","author":[{"family":"Hin","given":"Vincent"},{"family":"Harwood","given":"John"},{"family":"De Roos","given":"André M."}],"accessed":{"date-parts":[["2020",5,6]]},"issued":{"date-parts":[["2019",7]]}}}],"schema":"https://github.com/citation-style-language/schema/raw/master/csl-citation.json"} </w:instrText>
      </w:r>
      <w:r w:rsidR="00C81D67" w:rsidRPr="0082745D">
        <w:fldChar w:fldCharType="separate"/>
      </w:r>
      <w:r w:rsidR="00C81D67" w:rsidRPr="0082745D">
        <w:t>Hin et al. (2019)</w:t>
      </w:r>
      <w:r w:rsidR="00C81D67" w:rsidRPr="0082745D">
        <w:fldChar w:fldCharType="end"/>
      </w:r>
      <w:r w:rsidRPr="0082745D">
        <w:t>.</w:t>
      </w:r>
      <w:r w:rsidR="002733F2" w:rsidRPr="0082745D">
        <w:t xml:space="preserve"> </w:t>
      </w:r>
      <w:r w:rsidR="00B108CB" w:rsidRPr="0082745D">
        <w:t xml:space="preserve">In line with the notion that beaked whales are build ‘cheap’, we deviate from this value and adopt a </w:t>
      </w:r>
      <w:r w:rsidR="00AE72AE" w:rsidRPr="0082745D">
        <w:t>lower</w:t>
      </w:r>
      <w:r w:rsidR="00B108CB" w:rsidRPr="0082745D">
        <w:t xml:space="preserve"> value of </w:t>
      </w:r>
      <m:oMath>
        <m:sSub>
          <m:sSubPr>
            <m:ctrlPr>
              <w:rPr>
                <w:rFonts w:ascii="Cambria Math" w:hAnsi="Cambria Math"/>
              </w:rPr>
            </m:ctrlPr>
          </m:sSubPr>
          <m:e>
            <m:r>
              <w:rPr>
                <w:rFonts w:ascii="Cambria Math" w:hAnsi="Cambria Math"/>
              </w:rPr>
              <m:t>σ</m:t>
            </m:r>
          </m:e>
          <m:sub>
            <m:r>
              <w:rPr>
                <w:rFonts w:ascii="Cambria Math" w:hAnsi="Cambria Math"/>
              </w:rPr>
              <m:t>G</m:t>
            </m:r>
          </m:sub>
        </m:sSub>
        <m:r>
          <m:rPr>
            <m:sty m:val="p"/>
          </m:rPr>
          <w:rPr>
            <w:rFonts w:ascii="Cambria Math" w:hAnsi="Cambria Math"/>
          </w:rPr>
          <m:t>=20</m:t>
        </m:r>
      </m:oMath>
      <w:r w:rsidR="00B108CB" w:rsidRPr="0082745D">
        <w:t xml:space="preserve"> MJ </w:t>
      </w:r>
      <w:proofErr w:type="gramStart"/>
      <w:r w:rsidR="00B108CB" w:rsidRPr="0082745D">
        <w:t>kg</w:t>
      </w:r>
      <w:r w:rsidR="00B108CB" w:rsidRPr="003E31DE">
        <w:rPr>
          <w:vertAlign w:val="superscript"/>
        </w:rPr>
        <w:t>-1</w:t>
      </w:r>
      <w:proofErr w:type="gramEnd"/>
      <w:r w:rsidR="00F73EB3" w:rsidRPr="0082745D">
        <w:t>.</w:t>
      </w:r>
    </w:p>
    <w:p w14:paraId="51184979" w14:textId="22C840A5" w:rsidR="00833606" w:rsidRDefault="00E07EDD" w:rsidP="00094205">
      <w:pPr>
        <w:rPr>
          <w:rFonts w:eastAsiaTheme="minorEastAsia"/>
        </w:rPr>
      </w:pPr>
      <w:r>
        <w:t xml:space="preserve">The lactation rate scalar parameter </w:t>
      </w:r>
      <m:oMath>
        <m:sSub>
          <m:sSubPr>
            <m:ctrlPr>
              <w:rPr>
                <w:rFonts w:ascii="Cambria Math" w:hAnsi="Cambria Math"/>
                <w:i/>
              </w:rPr>
            </m:ctrlPr>
          </m:sSubPr>
          <m:e>
            <m:r>
              <w:rPr>
                <w:rFonts w:ascii="Cambria Math" w:hAnsi="Cambria Math"/>
              </w:rPr>
              <m:t>ϕ</m:t>
            </m:r>
          </m:e>
          <m:sub>
            <m:r>
              <w:rPr>
                <w:rFonts w:ascii="Cambria Math" w:hAnsi="Cambria Math"/>
              </w:rPr>
              <m:t>L</m:t>
            </m:r>
          </m:sub>
        </m:sSub>
      </m:oMath>
      <w:r>
        <w:rPr>
          <w:rFonts w:eastAsiaTheme="minorEastAsia"/>
        </w:rPr>
        <w:t xml:space="preserve"> was recalculated for </w:t>
      </w:r>
      <w:r>
        <w:rPr>
          <w:rFonts w:eastAsiaTheme="minorEastAsia"/>
          <w:i/>
          <w:iCs/>
        </w:rPr>
        <w:t>Zc</w:t>
      </w:r>
      <w:r>
        <w:rPr>
          <w:rFonts w:eastAsiaTheme="minorEastAsia"/>
        </w:rPr>
        <w:t xml:space="preserve"> and </w:t>
      </w:r>
      <w:r>
        <w:rPr>
          <w:rFonts w:eastAsiaTheme="minorEastAsia"/>
          <w:i/>
          <w:iCs/>
        </w:rPr>
        <w:t>Md</w:t>
      </w:r>
      <w:r>
        <w:rPr>
          <w:rFonts w:eastAsiaTheme="minorEastAsia"/>
        </w:rPr>
        <w:t xml:space="preserve"> using the approach described in </w:t>
      </w:r>
      <w:r w:rsidR="00C81D67">
        <w:fldChar w:fldCharType="begin"/>
      </w:r>
      <w:r w:rsidR="00CF468A">
        <w:instrText xml:space="preserve"> ADDIN ZOTERO_ITEM CSL_CITATION {"citationID":"eZ9YF63Z","properties":{"formattedCitation":"(Hin et al., 2019)","plainCitation":"(Hin et al., 2019)","dontUpdate":true,"noteIndex":0},"citationItems":[{"id":1888,"uris":["http://zotero.org/users/local/6qJKLD2C/items/3DYHU9SD"],"uri":["http://zotero.org/users/local/6qJKLD2C/items/3DYHU9SD"],"itemData":{"id":1888,"type":"article-journal","abstract":"Understanding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w:instrText>
      </w:r>
      <w:r w:rsidR="00CF468A">
        <w:rPr>
          <w:rFonts w:ascii="Cambria Math" w:hAnsi="Cambria Math" w:cs="Cambria Math"/>
        </w:rPr>
        <w:instrText>‐</w:instrText>
      </w:r>
      <w:r w:rsidR="00CF468A">
        <w:instrText>energetic modeling of medium</w:instrText>
      </w:r>
      <w:r w:rsidR="00CF468A">
        <w:rPr>
          <w:rFonts w:ascii="Cambria Math" w:hAnsi="Cambria Math" w:cs="Cambria Math"/>
        </w:rPr>
        <w:instrText>‐</w:instrText>
      </w:r>
      <w:r w:rsidR="00CF468A">
        <w:instrText xml:space="preserve">sized cetaceans shows high sensitivity to disturbance in seasons of low resource supply","URL":"https://onlinelibrary.wiley.com/doi/abs/10.1002/eap.1903","volume":"29","author":[{"family":"Hin","given":"Vincent"},{"family":"Harwood","given":"John"},{"family":"De Roos","given":"André M."}],"accessed":{"date-parts":[["2020",5,6]]},"issued":{"date-parts":[["2019",7]]}}}],"schema":"https://github.com/citation-style-language/schema/raw/master/csl-citation.json"} </w:instrText>
      </w:r>
      <w:r w:rsidR="00C81D67">
        <w:fldChar w:fldCharType="separate"/>
      </w:r>
      <w:r w:rsidR="00C81D67">
        <w:rPr>
          <w:noProof/>
        </w:rPr>
        <w:t>Hin et al. (2019)</w:t>
      </w:r>
      <w:r w:rsidR="00C81D67">
        <w:fldChar w:fldCharType="end"/>
      </w:r>
      <w:r>
        <w:rPr>
          <w:rFonts w:eastAsiaTheme="minorEastAsia"/>
        </w:rPr>
        <w:t xml:space="preserve">. This approach assumes that milk supply </w:t>
      </w:r>
      <w:r w:rsidR="00C95EFD">
        <w:rPr>
          <w:rFonts w:eastAsiaTheme="minorEastAsia"/>
        </w:rPr>
        <w:t xml:space="preserve">of a female </w:t>
      </w:r>
      <w:r w:rsidR="00713A73">
        <w:rPr>
          <w:rFonts w:eastAsiaTheme="minorEastAsia"/>
        </w:rPr>
        <w:t xml:space="preserve">at </w:t>
      </w:r>
      <w:r w:rsidR="00C95EFD">
        <w:rPr>
          <w:rFonts w:eastAsiaTheme="minorEastAsia"/>
        </w:rPr>
        <w:t xml:space="preserve">target body condition </w:t>
      </w:r>
      <w:r w:rsidR="00713A73">
        <w:rPr>
          <w:rFonts w:eastAsiaTheme="minorEastAsia"/>
        </w:rPr>
        <w:t>(</w:t>
      </w: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W</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oMath>
      <w:r w:rsidR="00713A73">
        <w:rPr>
          <w:rFonts w:eastAsiaTheme="minorEastAsia"/>
        </w:rPr>
        <w:t>)</w:t>
      </w:r>
      <w:r w:rsidR="00C95EFD">
        <w:rPr>
          <w:rFonts w:eastAsiaTheme="minorEastAsia"/>
        </w:rPr>
        <w:t xml:space="preserve"> is sufficient to cover</w:t>
      </w:r>
      <w:r>
        <w:rPr>
          <w:rFonts w:eastAsiaTheme="minorEastAsia"/>
        </w:rPr>
        <w:t xml:space="preserve"> metabolic and growth expenses of </w:t>
      </w:r>
      <w:r w:rsidR="00886F9E">
        <w:rPr>
          <w:rFonts w:eastAsiaTheme="minorEastAsia"/>
        </w:rPr>
        <w:t>her</w:t>
      </w:r>
      <w:r>
        <w:rPr>
          <w:rFonts w:eastAsiaTheme="minorEastAsia"/>
        </w:rPr>
        <w:t xml:space="preserve"> calf during </w:t>
      </w:r>
      <w:r>
        <w:rPr>
          <w:rFonts w:eastAsiaTheme="minorEastAsia"/>
        </w:rPr>
        <w:lastRenderedPageBreak/>
        <w:t>its first year of life.</w:t>
      </w:r>
      <w:r w:rsidR="008A0025">
        <w:rPr>
          <w:rFonts w:eastAsiaTheme="minorEastAsia"/>
        </w:rPr>
        <w:t xml:space="preserve"> </w:t>
      </w:r>
      <w:r w:rsidR="00F3229E">
        <w:rPr>
          <w:rFonts w:eastAsiaTheme="minorEastAsia"/>
        </w:rPr>
        <w:t xml:space="preserve">For </w:t>
      </w:r>
      <w:r w:rsidR="00F3229E">
        <w:rPr>
          <w:rFonts w:eastAsiaTheme="minorEastAsia"/>
          <w:i/>
          <w:iCs/>
        </w:rPr>
        <w:t>Gm</w:t>
      </w:r>
      <w:r w:rsidR="00F3229E">
        <w:rPr>
          <w:rFonts w:eastAsiaTheme="minorEastAsia"/>
        </w:rPr>
        <w:t xml:space="preserve"> this led to a value of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m:t>
            </m:r>
          </m:sub>
        </m:sSub>
        <m:r>
          <w:rPr>
            <w:rFonts w:ascii="Cambria Math" w:eastAsiaTheme="minorEastAsia" w:hAnsi="Cambria Math"/>
          </w:rPr>
          <m:t>=2.7</m:t>
        </m:r>
      </m:oMath>
      <w:r w:rsidR="00410A7F">
        <w:rPr>
          <w:rFonts w:eastAsiaTheme="minorEastAsia"/>
        </w:rPr>
        <w:t xml:space="preserve"> </w:t>
      </w:r>
      <w:r w:rsidR="00411066">
        <w:rPr>
          <w:rFonts w:eastAsiaTheme="minorEastAsia"/>
        </w:rPr>
        <w:fldChar w:fldCharType="begin"/>
      </w:r>
      <w:r w:rsidR="00CF468A">
        <w:rPr>
          <w:rFonts w:eastAsiaTheme="minorEastAsia"/>
        </w:rPr>
        <w:instrText xml:space="preserve"> ADDIN ZOTERO_ITEM CSL_CITATION {"citationID":"mcPrnr1g","properties":{"formattedCitation":"(Hin et al., 2019)","plainCitation":"(Hin et al., 2019)","noteIndex":0},"citationItems":[{"id":1888,"uris":["http://zotero.org/users/local/6qJKLD2C/items/3DYHU9SD"],"uri":["http://zotero.org/users/local/6qJKLD2C/items/3DYHU9SD"],"itemData":{"id":1888,"type":"article-journal","abstract":"Understanding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w:instrText>
      </w:r>
      <w:r w:rsidR="00CF468A">
        <w:rPr>
          <w:rFonts w:ascii="Cambria Math" w:eastAsiaTheme="minorEastAsia" w:hAnsi="Cambria Math" w:cs="Cambria Math"/>
        </w:rPr>
        <w:instrText>‐</w:instrText>
      </w:r>
      <w:r w:rsidR="00CF468A">
        <w:rPr>
          <w:rFonts w:eastAsiaTheme="minorEastAsia"/>
        </w:rPr>
        <w:instrText>energetic modeling of medium</w:instrText>
      </w:r>
      <w:r w:rsidR="00CF468A">
        <w:rPr>
          <w:rFonts w:ascii="Cambria Math" w:eastAsiaTheme="minorEastAsia" w:hAnsi="Cambria Math" w:cs="Cambria Math"/>
        </w:rPr>
        <w:instrText>‐</w:instrText>
      </w:r>
      <w:r w:rsidR="00CF468A">
        <w:rPr>
          <w:rFonts w:eastAsiaTheme="minorEastAsia"/>
        </w:rPr>
        <w:instrText xml:space="preserve">sized cetaceans shows high sensitivity to disturbance in seasons of low resource supply","URL":"https://onlinelibrary.wiley.com/doi/abs/10.1002/eap.1903","volume":"29","author":[{"family":"Hin","given":"Vincent"},{"family":"Harwood","given":"John"},{"family":"De Roos","given":"André M."}],"accessed":{"date-parts":[["2020",5,6]]},"issued":{"date-parts":[["2019",7]]}}}],"schema":"https://github.com/citation-style-language/schema/raw/master/csl-citation.json"} </w:instrText>
      </w:r>
      <w:r w:rsidR="00411066">
        <w:rPr>
          <w:rFonts w:eastAsiaTheme="minorEastAsia"/>
        </w:rPr>
        <w:fldChar w:fldCharType="separate"/>
      </w:r>
      <w:r w:rsidR="00411066">
        <w:rPr>
          <w:rFonts w:eastAsiaTheme="minorEastAsia"/>
          <w:noProof/>
        </w:rPr>
        <w:t>(Hin et al., 2019)</w:t>
      </w:r>
      <w:r w:rsidR="00411066">
        <w:rPr>
          <w:rFonts w:eastAsiaTheme="minorEastAsia"/>
        </w:rPr>
        <w:fldChar w:fldCharType="end"/>
      </w:r>
      <w:r w:rsidR="00F3229E">
        <w:rPr>
          <w:rFonts w:eastAsiaTheme="minorEastAsia"/>
        </w:rPr>
        <w:t xml:space="preserve"> and value</w:t>
      </w:r>
      <w:r w:rsidR="00410A7F">
        <w:rPr>
          <w:rFonts w:eastAsiaTheme="minorEastAsia"/>
        </w:rPr>
        <w:t>s</w:t>
      </w:r>
      <w:r w:rsidR="00F3229E">
        <w:rPr>
          <w:rFonts w:eastAsiaTheme="minorEastAsia"/>
        </w:rPr>
        <w:t xml:space="preserve"> for </w:t>
      </w:r>
      <w:r w:rsidR="00F3229E">
        <w:rPr>
          <w:rFonts w:eastAsiaTheme="minorEastAsia"/>
          <w:i/>
          <w:iCs/>
        </w:rPr>
        <w:t>Md</w:t>
      </w:r>
      <w:r w:rsidR="00F3229E">
        <w:rPr>
          <w:rFonts w:eastAsiaTheme="minorEastAsia"/>
        </w:rPr>
        <w:t xml:space="preserve"> and </w:t>
      </w:r>
      <w:r w:rsidR="00F3229E">
        <w:rPr>
          <w:rFonts w:eastAsiaTheme="minorEastAsia"/>
          <w:i/>
          <w:iCs/>
        </w:rPr>
        <w:t xml:space="preserve">Zc </w:t>
      </w:r>
      <w:r w:rsidR="00F3229E">
        <w:rPr>
          <w:rFonts w:eastAsiaTheme="minorEastAsia"/>
        </w:rPr>
        <w:t>are similar</w:t>
      </w:r>
      <w:r w:rsidR="004B2219">
        <w:rPr>
          <w:rFonts w:eastAsiaTheme="minorEastAsia"/>
        </w:rPr>
        <w:t xml:space="preserve"> (Table S3).</w:t>
      </w:r>
    </w:p>
    <w:p w14:paraId="7764C9A9" w14:textId="473EDC0D" w:rsidR="001655B1" w:rsidRPr="008C47C7" w:rsidRDefault="001655B1" w:rsidP="00094205">
      <w:r>
        <w:rPr>
          <w:rFonts w:eastAsiaTheme="minorEastAsia"/>
        </w:rPr>
        <w:t xml:space="preserve">The maximum </w:t>
      </w:r>
      <w:r w:rsidR="008B02D8">
        <w:rPr>
          <w:rFonts w:eastAsiaTheme="minorEastAsia"/>
        </w:rPr>
        <w:t>consumption</w:t>
      </w:r>
      <w:r>
        <w:rPr>
          <w:rFonts w:eastAsiaTheme="minorEastAsia"/>
        </w:rPr>
        <w:t xml:space="preserve"> rate of the type II functional response of prey density was estimated based on dive statistics of </w:t>
      </w:r>
      <w:r>
        <w:rPr>
          <w:rFonts w:eastAsiaTheme="minorEastAsia"/>
          <w:i/>
          <w:iCs/>
        </w:rPr>
        <w:t>Zc</w:t>
      </w:r>
      <w:r>
        <w:rPr>
          <w:rFonts w:eastAsiaTheme="minorEastAsia"/>
        </w:rPr>
        <w:t>. The average foraging dive cycle</w:t>
      </w:r>
      <w:r w:rsidR="008B02D8">
        <w:rPr>
          <w:rFonts w:eastAsiaTheme="minorEastAsia"/>
        </w:rPr>
        <w:t xml:space="preserve"> (time between start of consecutive deep foraging dives) </w:t>
      </w:r>
      <w:r>
        <w:rPr>
          <w:rFonts w:eastAsiaTheme="minorEastAsia"/>
        </w:rPr>
        <w:t xml:space="preserve">of </w:t>
      </w:r>
      <w:r>
        <w:rPr>
          <w:rFonts w:eastAsiaTheme="minorEastAsia"/>
          <w:i/>
          <w:iCs/>
        </w:rPr>
        <w:t>Zc</w:t>
      </w:r>
      <w:r>
        <w:rPr>
          <w:rFonts w:eastAsiaTheme="minorEastAsia"/>
        </w:rPr>
        <w:t xml:space="preserve"> </w:t>
      </w:r>
      <w:r w:rsidR="008B02D8">
        <w:rPr>
          <w:rFonts w:eastAsiaTheme="minorEastAsia"/>
        </w:rPr>
        <w:t xml:space="preserve">is </w:t>
      </w:r>
      <w:r w:rsidR="0014397E">
        <w:rPr>
          <w:rFonts w:eastAsiaTheme="minorEastAsia"/>
        </w:rPr>
        <w:t>on average</w:t>
      </w:r>
      <w:r w:rsidR="008B02D8">
        <w:rPr>
          <w:rFonts w:eastAsiaTheme="minorEastAsia"/>
        </w:rPr>
        <w:t xml:space="preserve"> 121 min </w:t>
      </w:r>
      <w:r>
        <w:rPr>
          <w:rFonts w:eastAsiaTheme="minorEastAsia"/>
        </w:rPr>
        <w:fldChar w:fldCharType="begin"/>
      </w:r>
      <w:r>
        <w:rPr>
          <w:rFonts w:eastAsiaTheme="minorEastAsia"/>
        </w:rPr>
        <w:instrText xml:space="preserve"> ADDIN ZOTERO_ITEM CSL_CITATION {"citationID":"d54vRZOU","properties":{"formattedCitation":"(Tyack et al., 2006)","plainCitation":"(Tyack et al., 2006)","noteIndex":0},"citationItems":[{"id":1648,"uris":["http://zotero.org/users/local/6qJKLD2C/items/4P4BVC66"],"uri":["http://zotero.org/users/local/6qJKLD2C/items/4P4BVC66"],"itemData":{"id":1648,"type":"article-journal","abstract":"Summary Sound-and-orientation recording tags (DTAGs) were used to study 10 beaked whales of two poorly known species, Ziphius cavirostris (Zc) and Mesoplodon densirostris (Md). Acoustic behaviour in the deep foraging dives performed by both species (Zc: 28 dives by seven individuals; Md: 16 dives by three individuals) shows that they hunt by echolocation in deep water between 222 and 1885·m, attempting to capture about 30 prey/dive. This food source is so deep that the average foraging dives were deeper (Zc: 1070·m; Md: 835·m) and longer (Zc: 58·min; Md: 47·min) than reported for any other air-breathing species. A series of shallower dives, containing no indications of foraging, followed most deep foraging dives. The average interval between deep foraging dives was 63·min for Zc and 92·min for Md. This long an interval may be required for beaked whales to recover from an oxygen debt accrued in the deep foraging dives, which last about twice the estimated aerobic dive limit. Recent reports of gas emboli in beaked whales stranded during naval sonar exercises have led to the hypothesis that their deep-diving may make them especially vulnerable to decompression. Using current models of breath-hold diving, we infer that their natural diving behaviour is inconsistent with known problems of acute nitrogen supersaturation and embolism. If the assumptions of these models are correct for beaked whales, then possible decompression problems are more likely to result from an abnormal behavioural response to sonar.","container-title":"Journal of Experimental Biology","DOI":"10.1242/jeb.02505","ISSN":"0022-0949, 1477-9145","issue":"21","journalAbbreviation":"Journal of Experimental Biology","language":"en","page":"4238-4253","source":"DOI.org (Crossref)","title":"Extreme diving of beaked whales","volume":"209","author":[{"family":"Tyack","given":"P. L."},{"family":"Johnson","given":"M."},{"family":"Soto","given":"N. A."},{"family":"Sturlese","given":"A."},{"family":"Madsen","given":"P. T."}],"issued":{"date-parts":[["2006",11,1]]}}}],"schema":"https://github.com/citation-style-language/schema/raw/master/csl-citation.json"} </w:instrText>
      </w:r>
      <w:r>
        <w:rPr>
          <w:rFonts w:eastAsiaTheme="minorEastAsia"/>
        </w:rPr>
        <w:fldChar w:fldCharType="separate"/>
      </w:r>
      <w:r>
        <w:rPr>
          <w:rFonts w:eastAsiaTheme="minorEastAsia"/>
          <w:noProof/>
        </w:rPr>
        <w:t>(Tyack et al., 2006)</w:t>
      </w:r>
      <w:r>
        <w:rPr>
          <w:rFonts w:eastAsiaTheme="minorEastAsia"/>
        </w:rPr>
        <w:fldChar w:fldCharType="end"/>
      </w:r>
      <w:r w:rsidR="008B02D8">
        <w:rPr>
          <w:rFonts w:eastAsiaTheme="minorEastAsia"/>
        </w:rPr>
        <w:t>, which allow</w:t>
      </w:r>
      <w:r w:rsidR="0014397E">
        <w:rPr>
          <w:rFonts w:eastAsiaTheme="minorEastAsia"/>
        </w:rPr>
        <w:t>s</w:t>
      </w:r>
      <w:r w:rsidR="008B02D8">
        <w:rPr>
          <w:rFonts w:eastAsiaTheme="minorEastAsia"/>
        </w:rPr>
        <w:t xml:space="preserve"> </w:t>
      </w:r>
      <w:r w:rsidR="008B02D8">
        <w:rPr>
          <w:rFonts w:eastAsiaTheme="minorEastAsia"/>
          <w:i/>
          <w:iCs/>
        </w:rPr>
        <w:t>Zc</w:t>
      </w:r>
      <w:r w:rsidR="008B02D8">
        <w:rPr>
          <w:rFonts w:eastAsiaTheme="minorEastAsia"/>
        </w:rPr>
        <w:t xml:space="preserve"> to perform 11.9 deep dives per day. On each foraging dive there are around 30 prey capture attempts</w:t>
      </w:r>
      <w:r w:rsidR="000B7429">
        <w:rPr>
          <w:rFonts w:eastAsiaTheme="minorEastAsia"/>
        </w:rPr>
        <w:t xml:space="preserve"> </w:t>
      </w:r>
      <w:r w:rsidR="000B7429">
        <w:rPr>
          <w:rFonts w:eastAsiaTheme="minorEastAsia"/>
        </w:rPr>
        <w:fldChar w:fldCharType="begin"/>
      </w:r>
      <w:r w:rsidR="00FE4E1C">
        <w:rPr>
          <w:rFonts w:eastAsiaTheme="minorEastAsia"/>
        </w:rPr>
        <w:instrText xml:space="preserve"> ADDIN ZOTERO_ITEM CSL_CITATION {"citationID":"G9imwWz8","properties":{"formattedCitation":"(Tyack et al., 2006)","plainCitation":"(Tyack et al., 2006)","noteIndex":0},"citationItems":[{"id":1648,"uris":["http://zotero.org/users/local/6qJKLD2C/items/4P4BVC66"],"uri":["http://zotero.org/users/local/6qJKLD2C/items/4P4BVC66"],"itemData":{"id":1648,"type":"article-journal","abstract":"Summary Sound-and-orientation recording tags (DTAGs) were used to study 10 beaked whales of two poorly known species, Ziphius cavirostris (Zc) and Mesoplodon densirostris (Md). Acoustic behaviour in the deep foraging dives performed by both species (Zc: 28 dives by seven individuals; Md: 16 dives by three individuals) shows that they hunt by echolocation in deep water between 222 and 1885·m, attempting to capture about 30 prey/dive. This food source is so deep that the average foraging dives were deeper (Zc: 1070·m; Md: 835·m) and longer (Zc: 58·min; Md: 47·min) than reported for any other air-breathing species. A series of shallower dives, containing no indications of foraging, followed most deep foraging dives. The average interval between deep foraging dives was 63·min for Zc and 92·min for Md. This long an interval may be required for beaked whales to recover from an oxygen debt accrued in the deep foraging dives, which last about twice the estimated aerobic dive limit. Recent reports of gas emboli in beaked whales stranded during naval sonar exercises have led to the hypothesis that their deep-diving may make them especially vulnerable to decompression. Using current models of breath-hold diving, we infer that their natural diving behaviour is inconsistent with known problems of acute nitrogen supersaturation and embolism. If the assumptions of these models are correct for beaked whales, then possible decompression problems are more likely to result from an abnormal behavioural response to sonar.","container-title":"Journal of Experimental Biology","DOI":"10.1242/jeb.02505","ISSN":"0022-0949, 1477-9145","issue":"21","journalAbbreviation":"Journal of Experimental Biology","language":"en","page":"4238-4253","source":"DOI.org (Crossref)","title":"Extreme diving of beaked whales","volume":"209","author":[{"family":"Tyack","given":"P. L."},{"family":"Johnson","given":"M."},{"family":"Soto","given":"N. A."},{"family":"Sturlese","given":"A."},{"family":"Madsen","given":"P. T."}],"issued":{"date-parts":[["2006",11,1]]}}}],"schema":"https://github.com/citation-style-language/schema/raw/master/csl-citation.json"} </w:instrText>
      </w:r>
      <w:r w:rsidR="000B7429">
        <w:rPr>
          <w:rFonts w:eastAsiaTheme="minorEastAsia"/>
        </w:rPr>
        <w:fldChar w:fldCharType="separate"/>
      </w:r>
      <w:r w:rsidR="000B7429">
        <w:rPr>
          <w:rFonts w:eastAsiaTheme="minorEastAsia"/>
          <w:noProof/>
        </w:rPr>
        <w:t>(Tyack et al., 2006)</w:t>
      </w:r>
      <w:r w:rsidR="000B7429">
        <w:rPr>
          <w:rFonts w:eastAsiaTheme="minorEastAsia"/>
        </w:rPr>
        <w:fldChar w:fldCharType="end"/>
      </w:r>
      <w:r w:rsidR="008B02D8">
        <w:rPr>
          <w:rFonts w:eastAsiaTheme="minorEastAsia"/>
        </w:rPr>
        <w:t xml:space="preserve">, resulting in a maximum consumption of 357 prey items if all attempts are successful. </w:t>
      </w:r>
      <w:r w:rsidR="00EF31B7">
        <w:rPr>
          <w:rFonts w:eastAsiaTheme="minorEastAsia"/>
        </w:rPr>
        <w:t>A</w:t>
      </w:r>
      <w:r w:rsidR="00546030">
        <w:rPr>
          <w:rFonts w:eastAsiaTheme="minorEastAsia"/>
        </w:rPr>
        <w:t xml:space="preserve"> calorific content of 850 </w:t>
      </w:r>
      <w:proofErr w:type="spellStart"/>
      <w:r w:rsidR="00546030">
        <w:rPr>
          <w:rFonts w:eastAsiaTheme="minorEastAsia"/>
        </w:rPr>
        <w:t>kCal</w:t>
      </w:r>
      <w:proofErr w:type="spellEnd"/>
      <w:r w:rsidR="00546030">
        <w:rPr>
          <w:rFonts w:eastAsiaTheme="minorEastAsia"/>
        </w:rPr>
        <w:t xml:space="preserve"> per prey </w:t>
      </w:r>
      <w:r w:rsidR="00FE4E1C">
        <w:rPr>
          <w:rFonts w:eastAsiaTheme="minorEastAsia"/>
        </w:rPr>
        <w:fldChar w:fldCharType="begin"/>
      </w:r>
      <w:r w:rsidR="00FE4E1C">
        <w:rPr>
          <w:rFonts w:eastAsiaTheme="minorEastAsia"/>
        </w:rPr>
        <w:instrText xml:space="preserve"> ADDIN ZOTERO_ITEM CSL_CITATION {"citationID":"onIGAlhW","properties":{"formattedCitation":"(3.56 MJ; Southall et al., 2019)","plainCitation":"(3.56 MJ; Southall et al., 2019)","noteIndex":0},"citationItems":[{"id":2002,"uris":["http://zotero.org/users/local/6qJKLD2C/items/XG93LS5P"],"uri":["http://zotero.org/users/local/6qJKLD2C/items/XG93LS5P"],"itemData":{"id":2002,"type":"article-journal","container-title":"Journal of Applied Ecology","DOI":"10.1111/1365-2664.13334","ISSN":"0021-8901, 1365-2664","issue":"5","journalAbbreviation":"J Appl Ecol","language":"en","page":"1040-1049","source":"DOI.org (Crossref)","title":"Quantifying deep</w:instrText>
      </w:r>
      <w:r w:rsidR="00FE4E1C">
        <w:rPr>
          <w:rFonts w:ascii="Cambria Math" w:eastAsiaTheme="minorEastAsia" w:hAnsi="Cambria Math" w:cs="Cambria Math"/>
        </w:rPr>
        <w:instrText>‐</w:instrText>
      </w:r>
      <w:r w:rsidR="00FE4E1C">
        <w:rPr>
          <w:rFonts w:eastAsiaTheme="minorEastAsia"/>
        </w:rPr>
        <w:instrText>sea predator–prey dynamics: Implications of biological heterogeneity for beaked whale conservation","title-short":"Quantifying deep</w:instrText>
      </w:r>
      <w:r w:rsidR="00FE4E1C">
        <w:rPr>
          <w:rFonts w:ascii="Cambria Math" w:eastAsiaTheme="minorEastAsia" w:hAnsi="Cambria Math" w:cs="Cambria Math"/>
        </w:rPr>
        <w:instrText>‐</w:instrText>
      </w:r>
      <w:r w:rsidR="00FE4E1C">
        <w:rPr>
          <w:rFonts w:eastAsiaTheme="minorEastAsia"/>
        </w:rPr>
        <w:instrText>sea predator–prey dynamics","volume":"56","author":[{"family":"Southall","given":"Brandon L."},{"family":"Benoit</w:instrText>
      </w:r>
      <w:r w:rsidR="00FE4E1C">
        <w:rPr>
          <w:rFonts w:ascii="Cambria Math" w:eastAsiaTheme="minorEastAsia" w:hAnsi="Cambria Math" w:cs="Cambria Math"/>
        </w:rPr>
        <w:instrText>‐</w:instrText>
      </w:r>
      <w:r w:rsidR="00FE4E1C">
        <w:rPr>
          <w:rFonts w:eastAsiaTheme="minorEastAsia"/>
        </w:rPr>
        <w:instrText>Bird","given":"Kelly J."},{"family":"Moline","given":"Mark A."},{"family":"Moretti","given":"David"}],"editor":[{"family":"Januchowski</w:instrText>
      </w:r>
      <w:r w:rsidR="00FE4E1C">
        <w:rPr>
          <w:rFonts w:ascii="Cambria Math" w:eastAsiaTheme="minorEastAsia" w:hAnsi="Cambria Math" w:cs="Cambria Math"/>
        </w:rPr>
        <w:instrText>‐</w:instrText>
      </w:r>
      <w:r w:rsidR="00FE4E1C">
        <w:rPr>
          <w:rFonts w:eastAsiaTheme="minorEastAsia"/>
        </w:rPr>
        <w:instrText xml:space="preserve">Hartley","given":"Stephanie"}],"issued":{"date-parts":[["2019",5]]}},"prefix":"3.56 MJ; "}],"schema":"https://github.com/citation-style-language/schema/raw/master/csl-citation.json"} </w:instrText>
      </w:r>
      <w:r w:rsidR="00FE4E1C">
        <w:rPr>
          <w:rFonts w:eastAsiaTheme="minorEastAsia"/>
        </w:rPr>
        <w:fldChar w:fldCharType="separate"/>
      </w:r>
      <w:r w:rsidR="00FE4E1C">
        <w:rPr>
          <w:rFonts w:eastAsiaTheme="minorEastAsia"/>
          <w:noProof/>
        </w:rPr>
        <w:t>(3.56 MJ; Southall et al., 2019)</w:t>
      </w:r>
      <w:r w:rsidR="00FE4E1C">
        <w:rPr>
          <w:rFonts w:eastAsiaTheme="minorEastAsia"/>
        </w:rPr>
        <w:fldChar w:fldCharType="end"/>
      </w:r>
      <w:r w:rsidR="00546030">
        <w:rPr>
          <w:rFonts w:eastAsiaTheme="minorEastAsia"/>
        </w:rPr>
        <w:t xml:space="preserve"> leads to a maximum consumption rate of 1270 MJ per day. </w:t>
      </w:r>
      <w:r w:rsidR="002850B6">
        <w:rPr>
          <w:rFonts w:eastAsiaTheme="minorEastAsia"/>
        </w:rPr>
        <w:t>Using</w:t>
      </w:r>
      <w:r w:rsidR="00B4017F">
        <w:rPr>
          <w:rFonts w:eastAsiaTheme="minorEastAsia"/>
        </w:rPr>
        <w:t xml:space="preserve"> this value, the handling time parameter </w:t>
      </w:r>
      <w:r w:rsidR="00B4017F">
        <w:rPr>
          <w:rFonts w:eastAsiaTheme="minorEastAsia"/>
          <w:i/>
          <w:iCs/>
        </w:rPr>
        <w:t xml:space="preserve">h </w:t>
      </w:r>
      <w:r w:rsidR="00B4017F">
        <w:rPr>
          <w:rFonts w:eastAsiaTheme="minorEastAsia"/>
        </w:rPr>
        <w:t xml:space="preserve">of the type II functional response </w:t>
      </w:r>
      <w:r w:rsidR="00CA429D">
        <w:rPr>
          <w:rFonts w:eastAsiaTheme="minorEastAsia"/>
        </w:rPr>
        <w:t xml:space="preserve">of </w:t>
      </w:r>
      <w:r w:rsidR="00B4017F">
        <w:rPr>
          <w:rFonts w:eastAsiaTheme="minorEastAsia"/>
        </w:rPr>
        <w:t>a fully</w:t>
      </w:r>
      <w:r w:rsidR="00CA429D">
        <w:rPr>
          <w:rFonts w:eastAsiaTheme="minorEastAsia"/>
        </w:rPr>
        <w:t>-</w:t>
      </w:r>
      <w:r w:rsidR="00B4017F">
        <w:rPr>
          <w:rFonts w:eastAsiaTheme="minorEastAsia"/>
        </w:rPr>
        <w:t xml:space="preserve">grown </w:t>
      </w:r>
      <w:r w:rsidR="00B4017F">
        <w:rPr>
          <w:rFonts w:eastAsiaTheme="minorEastAsia"/>
          <w:i/>
          <w:iCs/>
        </w:rPr>
        <w:t>Zc</w:t>
      </w:r>
      <w:r w:rsidR="00B4017F">
        <w:rPr>
          <w:rFonts w:eastAsiaTheme="minorEastAsia"/>
        </w:rPr>
        <w:t xml:space="preserve"> individual with structural mass of </w:t>
      </w:r>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r>
                  <w:rPr>
                    <w:rFonts w:ascii="Cambria Math" w:hAnsi="Cambria Math"/>
                  </w:rPr>
                  <m:t>ω</m:t>
                </m:r>
              </m:e>
              <m:sub>
                <m:r>
                  <w:rPr>
                    <w:rFonts w:ascii="Cambria Math" w:hAnsi="Cambria Math"/>
                  </w:rPr>
                  <m:t>2</m:t>
                </m:r>
              </m:sub>
            </m:sSub>
          </m:sup>
        </m:sSubSup>
        <m:r>
          <w:rPr>
            <w:rFonts w:ascii="Cambria Math" w:hAnsi="Cambria Math"/>
          </w:rPr>
          <m:t xml:space="preserve">= </m:t>
        </m:r>
      </m:oMath>
      <w:r w:rsidR="00CA429D">
        <w:rPr>
          <w:rFonts w:eastAsiaTheme="minorEastAsia"/>
        </w:rPr>
        <w:t>2</w:t>
      </w:r>
      <w:r w:rsidR="00B4017F">
        <w:rPr>
          <w:rFonts w:eastAsiaTheme="minorEastAsia"/>
        </w:rPr>
        <w:t>398 kg</w:t>
      </w:r>
      <w:r w:rsidR="000900C2">
        <w:rPr>
          <w:rFonts w:eastAsiaTheme="minorEastAsia"/>
        </w:rPr>
        <w:t>,</w:t>
      </w:r>
      <w:r w:rsidR="00CA429D">
        <w:rPr>
          <w:rFonts w:eastAsiaTheme="minorEastAsia"/>
        </w:rPr>
        <w:t xml:space="preserve"> </w:t>
      </w:r>
      <w:r w:rsidR="00CB6856">
        <w:rPr>
          <w:rFonts w:eastAsiaTheme="minorEastAsia"/>
        </w:rPr>
        <w:t>becomes</w:t>
      </w:r>
      <w:r w:rsidR="00B4017F">
        <w:rPr>
          <w:rFonts w:eastAsiaTheme="minorEastAsia"/>
        </w:rPr>
        <w:t xml:space="preserve"> </w:t>
      </w:r>
      <w:r w:rsidR="00B4017F" w:rsidRPr="00B4017F">
        <w:rPr>
          <w:rFonts w:eastAsiaTheme="minorEastAsia"/>
          <w:i/>
          <w:iCs/>
        </w:rPr>
        <w:t>h</w:t>
      </w:r>
      <w:r w:rsidR="00B4017F">
        <w:rPr>
          <w:rFonts w:eastAsiaTheme="minorEastAsia"/>
        </w:rPr>
        <w:t xml:space="preserve"> = 2398</w:t>
      </w:r>
      <w:r w:rsidR="00B4017F">
        <w:rPr>
          <w:rFonts w:eastAsiaTheme="minorEastAsia"/>
          <w:vertAlign w:val="superscript"/>
        </w:rPr>
        <w:t>2/3</w:t>
      </w:r>
      <w:r w:rsidR="00B4017F">
        <w:rPr>
          <w:rFonts w:eastAsiaTheme="minorEastAsia"/>
        </w:rPr>
        <w:t xml:space="preserve"> / 1270 = 0.141. </w:t>
      </w:r>
      <w:r w:rsidR="00CB6856">
        <w:rPr>
          <w:rFonts w:eastAsiaTheme="minorEastAsia"/>
        </w:rPr>
        <w:t xml:space="preserve">We assume that </w:t>
      </w:r>
      <w:r w:rsidR="001522A1">
        <w:rPr>
          <w:rFonts w:eastAsiaTheme="minorEastAsia"/>
        </w:rPr>
        <w:t xml:space="preserve">there </w:t>
      </w:r>
      <w:r w:rsidR="00CB6856">
        <w:rPr>
          <w:rFonts w:eastAsiaTheme="minorEastAsia"/>
        </w:rPr>
        <w:t>are no difference</w:t>
      </w:r>
      <w:r w:rsidR="001522A1">
        <w:rPr>
          <w:rFonts w:eastAsiaTheme="minorEastAsia"/>
        </w:rPr>
        <w:t>s</w:t>
      </w:r>
      <w:r w:rsidR="00CB6856">
        <w:rPr>
          <w:rFonts w:eastAsiaTheme="minorEastAsia"/>
        </w:rPr>
        <w:t xml:space="preserve"> </w:t>
      </w:r>
      <w:r w:rsidR="001522A1">
        <w:rPr>
          <w:rFonts w:eastAsiaTheme="minorEastAsia"/>
        </w:rPr>
        <w:t xml:space="preserve">in maximum consumption between </w:t>
      </w:r>
      <w:r w:rsidR="001522A1" w:rsidRPr="001522A1">
        <w:rPr>
          <w:rFonts w:eastAsiaTheme="minorEastAsia"/>
          <w:i/>
          <w:iCs/>
        </w:rPr>
        <w:t>Zc</w:t>
      </w:r>
      <w:r w:rsidR="001522A1">
        <w:rPr>
          <w:rFonts w:eastAsiaTheme="minorEastAsia"/>
        </w:rPr>
        <w:t xml:space="preserve"> and </w:t>
      </w:r>
      <w:r w:rsidR="001522A1" w:rsidRPr="001522A1">
        <w:rPr>
          <w:rFonts w:eastAsiaTheme="minorEastAsia"/>
          <w:i/>
          <w:iCs/>
        </w:rPr>
        <w:t>Md</w:t>
      </w:r>
      <w:r w:rsidR="001522A1">
        <w:rPr>
          <w:rFonts w:eastAsiaTheme="minorEastAsia"/>
        </w:rPr>
        <w:t xml:space="preserve"> </w:t>
      </w:r>
      <w:r w:rsidR="00CB6856">
        <w:rPr>
          <w:rFonts w:eastAsiaTheme="minorEastAsia"/>
        </w:rPr>
        <w:t>other than those related to siz</w:t>
      </w:r>
      <w:r w:rsidR="001522A1">
        <w:rPr>
          <w:rFonts w:eastAsiaTheme="minorEastAsia"/>
        </w:rPr>
        <w:t xml:space="preserve">e. In other words, </w:t>
      </w:r>
      <w:r w:rsidR="007A6EA1">
        <w:rPr>
          <w:rFonts w:eastAsiaTheme="minorEastAsia"/>
        </w:rPr>
        <w:t xml:space="preserve">we do not have any reason to believe that </w:t>
      </w:r>
      <w:r w:rsidR="007A6EA1">
        <w:rPr>
          <w:rFonts w:eastAsiaTheme="minorEastAsia"/>
          <w:i/>
          <w:iCs/>
        </w:rPr>
        <w:t>Zc</w:t>
      </w:r>
      <w:r w:rsidR="007A6EA1">
        <w:rPr>
          <w:rFonts w:eastAsiaTheme="minorEastAsia"/>
        </w:rPr>
        <w:t xml:space="preserve"> and </w:t>
      </w:r>
      <w:r w:rsidR="007A6EA1">
        <w:rPr>
          <w:rFonts w:eastAsiaTheme="minorEastAsia"/>
          <w:i/>
          <w:iCs/>
        </w:rPr>
        <w:t>Md</w:t>
      </w:r>
      <w:r w:rsidR="007A6EA1">
        <w:rPr>
          <w:rFonts w:eastAsiaTheme="minorEastAsia"/>
        </w:rPr>
        <w:t xml:space="preserve"> individuals of identical size have a different maximum consumption rate.</w:t>
      </w:r>
      <w:r w:rsidR="00CB6856">
        <w:rPr>
          <w:rFonts w:eastAsiaTheme="minorEastAsia"/>
        </w:rPr>
        <w:t xml:space="preserve"> </w:t>
      </w:r>
      <w:r w:rsidR="008F617C">
        <w:rPr>
          <w:rFonts w:eastAsiaTheme="minorEastAsia"/>
        </w:rPr>
        <w:t xml:space="preserve">With the derived value of </w:t>
      </w:r>
      <w:r w:rsidR="008F617C">
        <w:rPr>
          <w:rFonts w:eastAsiaTheme="minorEastAsia"/>
          <w:i/>
          <w:iCs/>
        </w:rPr>
        <w:t xml:space="preserve">h </w:t>
      </w:r>
      <w:r w:rsidR="008F617C">
        <w:rPr>
          <w:rFonts w:eastAsiaTheme="minorEastAsia"/>
        </w:rPr>
        <w:t xml:space="preserve">= 0.141, the maximum consumption rate of a fully-grown </w:t>
      </w:r>
      <w:r w:rsidR="008F617C">
        <w:rPr>
          <w:rFonts w:eastAsiaTheme="minorEastAsia"/>
          <w:i/>
          <w:iCs/>
        </w:rPr>
        <w:t>Md</w:t>
      </w:r>
      <w:r w:rsidR="008F617C">
        <w:rPr>
          <w:rFonts w:eastAsiaTheme="minorEastAsia"/>
        </w:rPr>
        <w:t xml:space="preserve"> becomes </w:t>
      </w:r>
      <m:oMath>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t>
                </m:r>
              </m:sub>
              <m:sup>
                <m:r>
                  <w:rPr>
                    <w:rFonts w:ascii="Cambria Math" w:hAnsi="Cambria Math"/>
                  </w:rPr>
                  <m:t>2/3</m:t>
                </m:r>
              </m:sup>
            </m:sSubSup>
          </m:num>
          <m:den>
            <m:r>
              <w:rPr>
                <w:rFonts w:ascii="Cambria Math" w:hAnsi="Cambria Math"/>
              </w:rPr>
              <m:t>h</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915</m:t>
                </m:r>
              </m:e>
              <m:sup>
                <m:r>
                  <w:rPr>
                    <w:rFonts w:ascii="Cambria Math" w:eastAsiaTheme="minorEastAsia" w:hAnsi="Cambria Math"/>
                  </w:rPr>
                  <m:t>2/3</m:t>
                </m:r>
              </m:sup>
            </m:sSup>
          </m:num>
          <m:den>
            <m:r>
              <w:rPr>
                <w:rFonts w:ascii="Cambria Math" w:eastAsiaTheme="minorEastAsia" w:hAnsi="Cambria Math"/>
              </w:rPr>
              <m:t>0.141</m:t>
            </m:r>
          </m:den>
        </m:f>
        <m:r>
          <w:rPr>
            <w:rFonts w:ascii="Cambria Math" w:eastAsiaTheme="minorEastAsia" w:hAnsi="Cambria Math"/>
          </w:rPr>
          <m:t>=</m:t>
        </m:r>
        <m:r>
          <w:rPr>
            <w:rFonts w:ascii="Cambria Math" w:eastAsiaTheme="minorEastAsia" w:hAnsi="Cambria Math"/>
          </w:rPr>
          <m:t>669</m:t>
        </m:r>
      </m:oMath>
      <w:r w:rsidR="008F617C">
        <w:rPr>
          <w:rFonts w:eastAsiaTheme="minorEastAsia"/>
        </w:rPr>
        <w:t xml:space="preserve"> MJ </w:t>
      </w:r>
      <w:proofErr w:type="gramStart"/>
      <w:r w:rsidR="008F617C">
        <w:rPr>
          <w:rFonts w:eastAsiaTheme="minorEastAsia"/>
        </w:rPr>
        <w:t>day</w:t>
      </w:r>
      <w:r w:rsidR="008F617C" w:rsidRPr="008F617C">
        <w:rPr>
          <w:rFonts w:eastAsiaTheme="minorEastAsia"/>
          <w:vertAlign w:val="superscript"/>
        </w:rPr>
        <w:t>-1</w:t>
      </w:r>
      <w:proofErr w:type="gramEnd"/>
      <w:r w:rsidR="008C47C7">
        <w:rPr>
          <w:rFonts w:eastAsiaTheme="minorEastAsia"/>
        </w:rPr>
        <w:t>.</w:t>
      </w:r>
    </w:p>
    <w:p w14:paraId="5A07C512" w14:textId="0CCC3A3C" w:rsidR="00EE2BA4" w:rsidRDefault="00EE2BA4" w:rsidP="001A3E98">
      <w:pPr>
        <w:pStyle w:val="Heading2"/>
      </w:pPr>
      <w:r>
        <w:t>Pregnancy threshold</w:t>
      </w:r>
    </w:p>
    <w:p w14:paraId="7237DA60" w14:textId="461331C9" w:rsidR="00B702EF" w:rsidRDefault="00652408" w:rsidP="00094205">
      <w:pPr>
        <w:pStyle w:val="Firstparagraph"/>
      </w:pPr>
      <w:r>
        <w:t>The female age at first reproduction is largely determined by the age at which female reserve mass exceeds the pregnancy threshold for the first time</w:t>
      </w:r>
      <w:r w:rsidR="00716409">
        <w:t xml:space="preserve"> (‘age at first receptive’)</w:t>
      </w:r>
      <w:r>
        <w:t xml:space="preserve">. </w:t>
      </w:r>
      <w:r w:rsidR="00AC39FB">
        <w:t>In addition to the amount of reserves below which individuals experience starvation mortality (</w:t>
      </w:r>
      <m:oMath>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W</m:t>
        </m:r>
      </m:oMath>
      <w:r w:rsidR="00AC39FB">
        <w:rPr>
          <w:rFonts w:eastAsiaTheme="minorEastAsia"/>
        </w:rPr>
        <w:t>), the pregnancy threshold includes a constant value (</w:t>
      </w:r>
      <w:proofErr w:type="spellStart"/>
      <w:r w:rsidR="00AC39FB" w:rsidRPr="00AC39FB">
        <w:rPr>
          <w:rFonts w:eastAsiaTheme="minorEastAsia"/>
          <w:i/>
          <w:iCs/>
        </w:rPr>
        <w:t>F</w:t>
      </w:r>
      <w:r w:rsidR="00AC39FB" w:rsidRPr="00AC39FB">
        <w:rPr>
          <w:rFonts w:eastAsiaTheme="minorEastAsia"/>
          <w:i/>
          <w:iCs/>
          <w:vertAlign w:val="subscript"/>
        </w:rPr>
        <w:t>neo</w:t>
      </w:r>
      <w:proofErr w:type="spellEnd"/>
      <w:r w:rsidR="00AC39FB">
        <w:rPr>
          <w:rFonts w:eastAsiaTheme="minorEastAsia"/>
        </w:rPr>
        <w:t>)</w:t>
      </w:r>
      <w:r w:rsidR="00D031A6">
        <w:rPr>
          <w:rFonts w:eastAsiaTheme="minorEastAsia"/>
        </w:rPr>
        <w:t xml:space="preserve"> that can be used to control the modelled age at first receptive. </w:t>
      </w:r>
      <w:r w:rsidR="00B702EF">
        <w:t xml:space="preserve">For </w:t>
      </w:r>
      <w:r w:rsidR="00B702EF" w:rsidRPr="00334452">
        <w:rPr>
          <w:i/>
          <w:iCs/>
        </w:rPr>
        <w:t>Gm</w:t>
      </w:r>
      <w:r w:rsidR="00B702EF">
        <w:t xml:space="preserve">, </w:t>
      </w:r>
      <w:r w:rsidR="00655910">
        <w:fldChar w:fldCharType="begin"/>
      </w:r>
      <w:r w:rsidR="00CF468A">
        <w:instrText xml:space="preserve"> ADDIN ZOTERO_ITEM CSL_CITATION {"citationID":"6hNtRR1C","properties":{"formattedCitation":"(Hin et al., 2019)","plainCitation":"(Hin et al., 2019)","dontUpdate":true,"noteIndex":0},"citationItems":[{"id":1888,"uris":["http://zotero.org/users/local/6qJKLD2C/items/3DYHU9SD"],"uri":["http://zotero.org/users/local/6qJKLD2C/items/3DYHU9SD"],"itemData":{"id":1888,"type":"article-journal","abstract":"Understanding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w:instrText>
      </w:r>
      <w:r w:rsidR="00CF468A">
        <w:rPr>
          <w:rFonts w:ascii="Cambria Math" w:hAnsi="Cambria Math" w:cs="Cambria Math"/>
        </w:rPr>
        <w:instrText>‐</w:instrText>
      </w:r>
      <w:r w:rsidR="00CF468A">
        <w:instrText>energetic modeling of medium</w:instrText>
      </w:r>
      <w:r w:rsidR="00CF468A">
        <w:rPr>
          <w:rFonts w:ascii="Cambria Math" w:hAnsi="Cambria Math" w:cs="Cambria Math"/>
        </w:rPr>
        <w:instrText>‐</w:instrText>
      </w:r>
      <w:r w:rsidR="00CF468A">
        <w:instrText xml:space="preserve">sized cetaceans shows high sensitivity to disturbance in seasons of low resource supply","URL":"https://onlinelibrary.wiley.com/doi/abs/10.1002/eap.1903","volume":"29","author":[{"family":"Hin","given":"Vincent"},{"family":"Harwood","given":"John"},{"family":"De Roos","given":"André M."}],"accessed":{"date-parts":[["2020",5,6]]},"issued":{"date-parts":[["2019",7]]}}}],"schema":"https://github.com/citation-style-language/schema/raw/master/csl-citation.json"} </w:instrText>
      </w:r>
      <w:r w:rsidR="00655910">
        <w:fldChar w:fldCharType="separate"/>
      </w:r>
      <w:r w:rsidR="00655910">
        <w:rPr>
          <w:noProof/>
        </w:rPr>
        <w:t>Hin et al. (2019)</w:t>
      </w:r>
      <w:r w:rsidR="00655910">
        <w:fldChar w:fldCharType="end"/>
      </w:r>
      <w:r w:rsidR="00B702EF">
        <w:t xml:space="preserve"> assumed that</w:t>
      </w:r>
      <w:r w:rsidR="00334452">
        <w:t xml:space="preserve"> </w:t>
      </w:r>
      <w:proofErr w:type="spellStart"/>
      <w:r w:rsidR="00334452" w:rsidRPr="00334452">
        <w:rPr>
          <w:i/>
          <w:iCs/>
        </w:rPr>
        <w:t>F</w:t>
      </w:r>
      <w:r w:rsidR="00334452" w:rsidRPr="00334452">
        <w:rPr>
          <w:i/>
          <w:iCs/>
          <w:vertAlign w:val="subscript"/>
        </w:rPr>
        <w:t>neo</w:t>
      </w:r>
      <w:proofErr w:type="spellEnd"/>
      <w:r w:rsidR="00B702EF">
        <w:t xml:space="preserve"> consist</w:t>
      </w:r>
      <w:r w:rsidR="007C00D8">
        <w:t>ed</w:t>
      </w:r>
      <w:r w:rsidR="00B702EF">
        <w:t xml:space="preserve"> of the amount of stored reserves that are needed to produce a neonate, which can be derived from the structural size at birth (</w:t>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sSubSup>
          <m:sSubSupPr>
            <m:ctrlPr>
              <w:rPr>
                <w:rFonts w:ascii="Cambria Math" w:hAnsi="Cambria Math"/>
                <w:i/>
              </w:rPr>
            </m:ctrlPr>
          </m:sSubSupPr>
          <m:e>
            <m:r>
              <w:rPr>
                <w:rFonts w:ascii="Cambria Math" w:hAnsi="Cambria Math"/>
              </w:rPr>
              <m:t>l</m:t>
            </m:r>
          </m:e>
          <m:sub>
            <m:r>
              <w:rPr>
                <w:rFonts w:ascii="Cambria Math" w:hAnsi="Cambria Math"/>
              </w:rPr>
              <m:t>b</m:t>
            </m:r>
          </m:sub>
          <m:sup>
            <m:sSub>
              <m:sSubPr>
                <m:ctrlPr>
                  <w:rPr>
                    <w:rFonts w:ascii="Cambria Math" w:hAnsi="Cambria Math"/>
                    <w:i/>
                  </w:rPr>
                </m:ctrlPr>
              </m:sSubPr>
              <m:e>
                <m:r>
                  <w:rPr>
                    <w:rFonts w:ascii="Cambria Math" w:hAnsi="Cambria Math"/>
                  </w:rPr>
                  <m:t>ω</m:t>
                </m:r>
              </m:e>
              <m:sub>
                <m:r>
                  <w:rPr>
                    <w:rFonts w:ascii="Cambria Math" w:hAnsi="Cambria Math"/>
                  </w:rPr>
                  <m:t>2</m:t>
                </m:r>
              </m:sub>
            </m:sSub>
          </m:sup>
        </m:sSubSup>
      </m:oMath>
      <w:r w:rsidR="00B702EF">
        <w:t>) and amounts to:</w:t>
      </w:r>
    </w:p>
    <w:p w14:paraId="12E8C461" w14:textId="5B08F5D8" w:rsidR="00B702EF" w:rsidRDefault="00C16EB1" w:rsidP="0082745D">
      <m:oMathPara>
        <m:oMath>
          <m:sSub>
            <m:sSubPr>
              <m:ctrlPr>
                <w:rPr>
                  <w:rFonts w:ascii="Cambria Math" w:hAnsi="Cambria Math"/>
                </w:rPr>
              </m:ctrlPr>
            </m:sSubPr>
            <m:e>
              <m:r>
                <w:rPr>
                  <w:rFonts w:ascii="Cambria Math" w:hAnsi="Cambria Math"/>
                </w:rPr>
                <m:t>F</m:t>
              </m:r>
            </m:e>
            <m:sub>
              <m:r>
                <w:rPr>
                  <w:rFonts w:ascii="Cambria Math" w:hAnsi="Cambria Math"/>
                </w:rPr>
                <m:t>neo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G</m:t>
                  </m:r>
                </m:sub>
              </m:sSub>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b</m:t>
                  </m:r>
                </m:sub>
              </m:sSub>
            </m:num>
            <m:den>
              <m:sSub>
                <m:sSubPr>
                  <m:ctrlPr>
                    <w:rPr>
                      <w:rFonts w:ascii="Cambria Math" w:hAnsi="Cambria Math"/>
                    </w:rPr>
                  </m:ctrlPr>
                </m:sSubPr>
                <m:e>
                  <m:r>
                    <w:rPr>
                      <w:rFonts w:ascii="Cambria Math" w:hAnsi="Cambria Math"/>
                    </w:rPr>
                    <m:t>ε</m:t>
                  </m:r>
                </m:e>
                <m:sub>
                  <m:r>
                    <m:rPr>
                      <m:sty m:val="p"/>
                    </m:rPr>
                    <w:rPr>
                      <w:rFonts w:ascii="Cambria Math" w:hAnsi="Cambria Math"/>
                    </w:rPr>
                    <m: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b</m:t>
                  </m:r>
                </m:sub>
              </m:sSub>
            </m:num>
            <m:den>
              <m:r>
                <m:rPr>
                  <m:sty m:val="p"/>
                </m:rP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s</m:t>
                  </m:r>
                </m:sub>
              </m:sSub>
            </m:den>
          </m:f>
        </m:oMath>
      </m:oMathPara>
    </w:p>
    <w:p w14:paraId="56EEE9D5" w14:textId="7EC43627" w:rsidR="0060472A" w:rsidRDefault="00B702EF" w:rsidP="0082745D">
      <w:r>
        <w:t xml:space="preserve">Here, the first term </w:t>
      </w:r>
      <w:r w:rsidR="00DB1EF2">
        <w:t xml:space="preserve">represents the amount of female reserve mass required to </w:t>
      </w:r>
      <w:r>
        <w:t xml:space="preserve">build the structural mass of a newborn and the second term equals the amount of reserves transferred from the mother to the </w:t>
      </w:r>
      <w:r w:rsidR="00DB1EF2">
        <w:t>newborn</w:t>
      </w:r>
      <w:r>
        <w:t xml:space="preserve"> at birth</w:t>
      </w:r>
      <w:r w:rsidR="00D234AC">
        <w:t xml:space="preserve"> (</w:t>
      </w:r>
      <w:r w:rsidR="00D234AC" w:rsidRPr="00D234AC">
        <w:rPr>
          <w:i/>
          <w:iCs/>
        </w:rPr>
        <w:t>F</w:t>
      </w:r>
      <w:r w:rsidR="00D234AC" w:rsidRPr="00D234AC">
        <w:rPr>
          <w:i/>
          <w:iCs/>
          <w:vertAlign w:val="subscript"/>
        </w:rPr>
        <w:t>b</w:t>
      </w:r>
      <w:r w:rsidR="00D234AC">
        <w:t>)</w:t>
      </w:r>
      <w:r>
        <w:t xml:space="preserve">. </w:t>
      </w:r>
      <w:r w:rsidR="007F6958">
        <w:t xml:space="preserve">For </w:t>
      </w:r>
      <w:r w:rsidR="007F6958">
        <w:rPr>
          <w:i/>
          <w:iCs/>
        </w:rPr>
        <w:t>Gm</w:t>
      </w:r>
      <w:r w:rsidR="007F6958">
        <w:t xml:space="preserve"> this approach resulted in a modelled age at first reproduction that corresponded well with its observed counterpart</w:t>
      </w:r>
      <w:r w:rsidR="00EB3CE7">
        <w:t xml:space="preserve"> </w:t>
      </w:r>
      <w:r w:rsidR="004B591C">
        <w:fldChar w:fldCharType="begin"/>
      </w:r>
      <w:r w:rsidR="008C241E">
        <w:instrText xml:space="preserve"> ADDIN ZOTERO_ITEM CSL_CITATION {"citationID":"zdIYp8Fg","properties":{"formattedCitation":"(Hin et al., 2021)","plainCitation":"(Hin et al., 2021)","noteIndex":0},"citationItems":[{"id":2377,"uris":["http://zotero.org/users/local/6qJKLD2C/items/AQ84RVRD"],"uri":["http://zotero.org/users/local/6qJKLD2C/items/AQ84RVRD"],"itemData":{"id":2377,"type":"article-journal","abstract":"Nonlethal disturbance of animals can cause behavioral and physiological changes that affect individual health status and vital rates, with potential consequences at the population level. Predicting these population effects remains a major challenge in ecology and conservation. Monitoring fitness-related traits may improve detection of upcoming population changes, but the extent to which individual traits are reliable indicators of disturbance exposure is not well understood, especially for populations regulated by density dependence. Here we study how density dependence affects a population’s response to disturbance and modifies the disturbance effects on individual health and vital rates. We extend an energy budget model for a medium-sized cetacean (the long-finned pilot whale\n              Globicephala melas\n              ) to an individual-based population model in which whales feed on a self-replenishing prey base and disturbance leads to cessation of feeding. In this coupled predator-prey system, the whale population is regulated through prey depletion and the onset of yearly repeating disturbances on the whale population at carrying capacity decreased population density and increased prey availability due to reduced top-down control. In populations faced with multiple days of continuous disturbance each year, female whales that were lactating their first calf experienced increased mortality due to depletion of energy stores. However, increased prey availability led to compensatory effects and resulted in a subsequent improvement of mean female body condition, mean age at first reproduction and higher age-specific reproductive output. These results indicate that prey-mediated density dependence can mask negative effects of disturbance on fitness-related traits and vital rates, a result with implications for the monitoring and management of marine mammal populations.","container-title":"PLOS ONE","DOI":"10.1371/journal.pone.0252677","ISSN":"1932-6203","issue":"6","journalAbbreviation":"PLoS ONE","language":"en","page":"e0252677","source":"DOI.org (Crossref)","title":"Density dependence can obscure nonlethal effects of disturbance on life history of medium-sized cetaceans","volume":"16","author":[{"family":"Hin","given":"Vincent"},{"family":"Harwood","given":"John"},{"family":"Roos","given":"André M.","non-dropping-particle":"de"}],"editor":[{"family":"Paiva","given":"Vitor Hugo Rodrigues"}],"issued":{"date-parts":[["2021",6,3]]}}}],"schema":"https://github.com/citation-style-language/schema/raw/master/csl-citation.json"} </w:instrText>
      </w:r>
      <w:r w:rsidR="004B591C">
        <w:fldChar w:fldCharType="separate"/>
      </w:r>
      <w:r w:rsidR="008C241E">
        <w:rPr>
          <w:noProof/>
        </w:rPr>
        <w:t>(Hin et al., 2021)</w:t>
      </w:r>
      <w:r w:rsidR="004B591C">
        <w:fldChar w:fldCharType="end"/>
      </w:r>
      <w:r w:rsidR="008D4220">
        <w:t xml:space="preserve">. </w:t>
      </w:r>
      <w:r>
        <w:t xml:space="preserve">For </w:t>
      </w:r>
      <w:r w:rsidRPr="007D7DF9">
        <w:rPr>
          <w:i/>
          <w:iCs/>
        </w:rPr>
        <w:t>Zc</w:t>
      </w:r>
      <w:r w:rsidR="007D7DF9" w:rsidRPr="007D7DF9">
        <w:t>,</w:t>
      </w:r>
      <w:r>
        <w:t xml:space="preserve"> this approach gives </w:t>
      </w:r>
      <w:proofErr w:type="spellStart"/>
      <w:r w:rsidR="007D7DF9" w:rsidRPr="007D7DF9">
        <w:rPr>
          <w:i/>
          <w:iCs/>
        </w:rPr>
        <w:t>F</w:t>
      </w:r>
      <w:r w:rsidRPr="007D7DF9">
        <w:rPr>
          <w:i/>
          <w:iCs/>
          <w:vertAlign w:val="subscript"/>
        </w:rPr>
        <w:t>neo</w:t>
      </w:r>
      <w:proofErr w:type="spellEnd"/>
      <w:r w:rsidR="007D7DF9">
        <w:t xml:space="preserve"> = </w:t>
      </w:r>
      <w:r w:rsidR="007D7DF9" w:rsidRPr="007D7DF9">
        <w:t>250</w:t>
      </w:r>
      <w:r>
        <w:t xml:space="preserve">, while for Md this leads to </w:t>
      </w:r>
      <w:proofErr w:type="spellStart"/>
      <w:r w:rsidR="00710FA1" w:rsidRPr="007D7DF9">
        <w:rPr>
          <w:i/>
          <w:iCs/>
        </w:rPr>
        <w:t>F</w:t>
      </w:r>
      <w:r w:rsidR="00710FA1" w:rsidRPr="007D7DF9">
        <w:rPr>
          <w:i/>
          <w:iCs/>
          <w:vertAlign w:val="subscript"/>
        </w:rPr>
        <w:t>neo</w:t>
      </w:r>
      <w:proofErr w:type="spellEnd"/>
      <w:r w:rsidR="00710FA1">
        <w:t xml:space="preserve"> = 92.9</w:t>
      </w:r>
      <w:r>
        <w:t xml:space="preserve">. </w:t>
      </w:r>
    </w:p>
    <w:p w14:paraId="0F54EB6D" w14:textId="68A10061" w:rsidR="006655F0" w:rsidRDefault="006655F0" w:rsidP="0082745D">
      <w:r>
        <w:t xml:space="preserve">In the population model, body condition of each individual changes through time as it tracks changes in resource density and energy expenditure. To infer values of </w:t>
      </w:r>
      <w:proofErr w:type="spellStart"/>
      <w:r w:rsidR="00CD607F" w:rsidRPr="00CD607F">
        <w:rPr>
          <w:i/>
          <w:iCs/>
        </w:rPr>
        <w:t>F</w:t>
      </w:r>
      <w:r w:rsidR="00CD607F" w:rsidRPr="00CD607F">
        <w:rPr>
          <w:i/>
          <w:iCs/>
          <w:vertAlign w:val="subscript"/>
        </w:rPr>
        <w:t>neo</w:t>
      </w:r>
      <w:proofErr w:type="spellEnd"/>
      <w:r>
        <w:t xml:space="preserve"> that result in good </w:t>
      </w:r>
      <w:r w:rsidR="00F97AF9">
        <w:t xml:space="preserve">correspondence </w:t>
      </w:r>
      <w:r>
        <w:t xml:space="preserve">between observed age at maturity and the modelled age at first receptive we ran the full population model for a range of </w:t>
      </w:r>
      <w:proofErr w:type="spellStart"/>
      <w:r w:rsidR="00C64E5B" w:rsidRPr="00C64E5B">
        <w:rPr>
          <w:i/>
          <w:iCs/>
        </w:rPr>
        <w:t>F</w:t>
      </w:r>
      <w:r w:rsidR="00C64E5B" w:rsidRPr="00C64E5B">
        <w:rPr>
          <w:i/>
          <w:iCs/>
          <w:vertAlign w:val="subscript"/>
        </w:rPr>
        <w:t>neo</w:t>
      </w:r>
      <w:proofErr w:type="spellEnd"/>
      <w:r w:rsidR="00C64E5B">
        <w:t xml:space="preserve"> – </w:t>
      </w:r>
      <w:r>
        <w:t>values. We should note that the observed age at maturi</w:t>
      </w:r>
      <w:r w:rsidR="002F0C9D">
        <w:t>t</w:t>
      </w:r>
      <w:r>
        <w:t xml:space="preserve">y for </w:t>
      </w:r>
      <w:r w:rsidRPr="00C64E5B">
        <w:rPr>
          <w:i/>
          <w:iCs/>
        </w:rPr>
        <w:t>Md</w:t>
      </w:r>
      <w:r>
        <w:t xml:space="preserve"> (</w:t>
      </w:r>
      <w:r w:rsidR="002F0C9D">
        <w:t>9</w:t>
      </w:r>
      <w:r>
        <w:t xml:space="preserve"> y) was assumed one year earlier than the observed age at first parturition </w:t>
      </w:r>
      <w:r w:rsidR="005669A7">
        <w:fldChar w:fldCharType="begin"/>
      </w:r>
      <w:r w:rsidR="005669A7">
        <w:instrText xml:space="preserve"> ADDIN ZOTERO_ITEM CSL_CITATION {"citationID":"KrIkZitB","properties":{"formattedCitation":"(Claridge, 2013)","plainCitation":"(Claridge, 2013)","noteIndex":0},"citationItems":[{"id":1806,"uris":["http://zotero.org/users/local/6qJKLD2C/items/GCE98GL2"],"uri":["http://zotero.org/users/local/6qJKLD2C/items/GCE98GL2"],"itemData":{"id":1806,"type":"thesis","event-place":"St.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E"}],"issued":{"date-parts":[["2013"]]}}}],"schema":"https://github.com/citation-style-language/schema/raw/master/csl-citation.json"} </w:instrText>
      </w:r>
      <w:r w:rsidR="005669A7">
        <w:fldChar w:fldCharType="separate"/>
      </w:r>
      <w:r w:rsidR="005669A7">
        <w:rPr>
          <w:noProof/>
        </w:rPr>
        <w:t>(Claridge, 2013)</w:t>
      </w:r>
      <w:r w:rsidR="005669A7">
        <w:fldChar w:fldCharType="end"/>
      </w:r>
      <w:r>
        <w:t xml:space="preserve"> and does not include a receptive period before the onset of pregnancy</w:t>
      </w:r>
      <w:r w:rsidR="00A44014">
        <w:t>, as is included in our model</w:t>
      </w:r>
      <w:r>
        <w:t>. Accounting for this 'waiting' period, the modelled age at first receptive should correspond to 9</w:t>
      </w:r>
      <w:r w:rsidR="00A27863">
        <w:t xml:space="preserve"> </w:t>
      </w:r>
      <w:r w:rsidR="00E22626">
        <w:t>–</w:t>
      </w:r>
      <w:r w:rsidR="00A27863">
        <w:t xml:space="preserve"> </w:t>
      </w:r>
      <w:r>
        <w:t>445</w:t>
      </w:r>
      <w:r w:rsidR="00A27863">
        <w:t xml:space="preserve"> </w:t>
      </w:r>
      <w:r>
        <w:t>/</w:t>
      </w:r>
      <w:r w:rsidR="00A27863">
        <w:t xml:space="preserve"> </w:t>
      </w:r>
      <w:r>
        <w:t xml:space="preserve">365 = </w:t>
      </w:r>
      <w:r w:rsidR="00666438">
        <w:t>7.8</w:t>
      </w:r>
      <w:r>
        <w:t xml:space="preserve"> y. For </w:t>
      </w:r>
      <w:r w:rsidRPr="00666438">
        <w:rPr>
          <w:i/>
          <w:iCs/>
        </w:rPr>
        <w:t>Zc</w:t>
      </w:r>
      <w:r>
        <w:t xml:space="preserve"> we do not know how the </w:t>
      </w:r>
      <w:r w:rsidR="005E2FA2">
        <w:lastRenderedPageBreak/>
        <w:t>estimate</w:t>
      </w:r>
      <w:r>
        <w:t xml:space="preserve"> for the age at maturity (</w:t>
      </w:r>
      <w:r w:rsidR="005E2FA2">
        <w:t>6.2</w:t>
      </w:r>
      <w:r>
        <w:t xml:space="preserve"> y) was derived and the corresponding modelled age at first receptive should therefore be in the range of </w:t>
      </w:r>
      <w:r w:rsidR="00E22626">
        <w:t xml:space="preserve">5 – </w:t>
      </w:r>
      <w:r>
        <w:t>6.2 yrs.</w:t>
      </w:r>
    </w:p>
    <w:p w14:paraId="04E6BD7F" w14:textId="03B260FE" w:rsidR="006655F0" w:rsidRDefault="00DA46E3" w:rsidP="0082745D">
      <w:r w:rsidRPr="00BC2B92">
        <w:fldChar w:fldCharType="begin"/>
      </w:r>
      <w:r w:rsidRPr="00BC2B92">
        <w:instrText xml:space="preserve"> REF _Ref62904291 \h  \* MERGEFORMAT </w:instrText>
      </w:r>
      <w:r w:rsidRPr="00BC2B92">
        <w:fldChar w:fldCharType="separate"/>
      </w:r>
      <w:r w:rsidR="00F07D93" w:rsidRPr="00F07D93">
        <w:t>Figure S2</w:t>
      </w:r>
      <w:r w:rsidRPr="00BC2B92">
        <w:fldChar w:fldCharType="end"/>
      </w:r>
      <w:r w:rsidR="006655F0" w:rsidRPr="006655F0">
        <w:t xml:space="preserve"> shows how the distribution</w:t>
      </w:r>
      <w:r w:rsidR="00C04AE2">
        <w:t>s</w:t>
      </w:r>
      <w:r w:rsidR="006655F0" w:rsidRPr="006655F0">
        <w:t xml:space="preserve"> of the age at first receptive,</w:t>
      </w:r>
      <w:r w:rsidR="00C04AE2">
        <w:t xml:space="preserve"> first</w:t>
      </w:r>
      <w:r w:rsidR="006655F0" w:rsidRPr="006655F0">
        <w:t xml:space="preserve"> reproduction and weaning </w:t>
      </w:r>
      <w:r w:rsidR="00C04AE2">
        <w:t xml:space="preserve">of </w:t>
      </w:r>
      <w:r w:rsidR="0031322E">
        <w:t>first calf</w:t>
      </w:r>
      <w:r w:rsidR="00C04AE2">
        <w:t>,</w:t>
      </w:r>
      <w:r w:rsidR="0031322E">
        <w:t xml:space="preserve"> </w:t>
      </w:r>
      <w:r w:rsidR="006655F0" w:rsidRPr="006655F0">
        <w:t xml:space="preserve">change as a function of </w:t>
      </w:r>
      <w:proofErr w:type="spellStart"/>
      <w:r w:rsidR="003D2146" w:rsidRPr="003D2146">
        <w:rPr>
          <w:i/>
          <w:iCs/>
        </w:rPr>
        <w:t>F</w:t>
      </w:r>
      <w:r w:rsidR="003D2146" w:rsidRPr="003D2146">
        <w:rPr>
          <w:i/>
          <w:iCs/>
          <w:vertAlign w:val="subscript"/>
        </w:rPr>
        <w:t>neo</w:t>
      </w:r>
      <w:proofErr w:type="spellEnd"/>
      <w:r w:rsidR="006655F0" w:rsidRPr="006655F0">
        <w:t xml:space="preserve"> for </w:t>
      </w:r>
      <w:r w:rsidR="006655F0" w:rsidRPr="008708CE">
        <w:rPr>
          <w:i/>
          <w:iCs/>
        </w:rPr>
        <w:t>Md</w:t>
      </w:r>
      <w:r w:rsidR="006655F0" w:rsidRPr="006655F0">
        <w:t xml:space="preserve"> and </w:t>
      </w:r>
      <w:r w:rsidR="006655F0" w:rsidRPr="008708CE">
        <w:rPr>
          <w:i/>
          <w:iCs/>
        </w:rPr>
        <w:t>Zc</w:t>
      </w:r>
      <w:r w:rsidR="006655F0" w:rsidRPr="006655F0">
        <w:t xml:space="preserve">. For </w:t>
      </w:r>
      <w:r w:rsidR="00C04AE2">
        <w:rPr>
          <w:i/>
          <w:iCs/>
        </w:rPr>
        <w:t>Md</w:t>
      </w:r>
      <w:r w:rsidR="00C04AE2">
        <w:t xml:space="preserve"> a value of </w:t>
      </w:r>
      <w:proofErr w:type="spellStart"/>
      <w:r w:rsidR="006655F0" w:rsidRPr="00C04AE2">
        <w:rPr>
          <w:i/>
          <w:iCs/>
        </w:rPr>
        <w:t>F</w:t>
      </w:r>
      <w:r w:rsidR="006655F0" w:rsidRPr="00C04AE2">
        <w:rPr>
          <w:i/>
          <w:iCs/>
          <w:vertAlign w:val="subscript"/>
        </w:rPr>
        <w:t>neo</w:t>
      </w:r>
      <w:proofErr w:type="spellEnd"/>
      <w:r w:rsidR="006655F0" w:rsidRPr="006655F0">
        <w:t xml:space="preserve"> = 80 kg results in good </w:t>
      </w:r>
      <w:r w:rsidR="00C04AE2">
        <w:t xml:space="preserve">correspondence </w:t>
      </w:r>
      <w:r w:rsidR="006655F0" w:rsidRPr="006655F0">
        <w:t xml:space="preserve">between the age at first receptive and observed age at </w:t>
      </w:r>
      <w:r w:rsidR="00C04AE2">
        <w:t>maturity</w:t>
      </w:r>
      <w:r w:rsidR="006655F0" w:rsidRPr="006655F0">
        <w:t xml:space="preserve">. This value for </w:t>
      </w:r>
      <w:proofErr w:type="spellStart"/>
      <w:r w:rsidR="00F50F25" w:rsidRPr="00C04AE2">
        <w:rPr>
          <w:i/>
          <w:iCs/>
        </w:rPr>
        <w:t>F</w:t>
      </w:r>
      <w:r w:rsidR="00F50F25" w:rsidRPr="00C04AE2">
        <w:rPr>
          <w:i/>
          <w:iCs/>
          <w:vertAlign w:val="subscript"/>
        </w:rPr>
        <w:t>neo</w:t>
      </w:r>
      <w:proofErr w:type="spellEnd"/>
      <w:r w:rsidR="006655F0" w:rsidRPr="006655F0">
        <w:t xml:space="preserve"> is approximately equal to the energetic costs of producing the structural mass of a neonate for </w:t>
      </w:r>
      <w:r w:rsidR="006655F0" w:rsidRPr="00E23979">
        <w:rPr>
          <w:i/>
          <w:iCs/>
        </w:rPr>
        <w:t>Md</w:t>
      </w:r>
      <w:r w:rsidR="006655F0" w:rsidRPr="006655F0">
        <w:t xml:space="preserve">, which evaluates to 78.98 kg. For </w:t>
      </w:r>
      <w:r w:rsidR="006655F0" w:rsidRPr="00095EAC">
        <w:rPr>
          <w:i/>
          <w:iCs/>
        </w:rPr>
        <w:t>Md</w:t>
      </w:r>
      <w:r w:rsidR="006655F0" w:rsidRPr="006655F0">
        <w:t xml:space="preserve">, we therefore settle for this latter value. For </w:t>
      </w:r>
      <w:r w:rsidR="006655F0" w:rsidRPr="00924E03">
        <w:rPr>
          <w:i/>
          <w:iCs/>
        </w:rPr>
        <w:t>Zc</w:t>
      </w:r>
      <w:r w:rsidR="006655F0" w:rsidRPr="006655F0">
        <w:t xml:space="preserve">, we adopt the value of </w:t>
      </w:r>
      <w:proofErr w:type="spellStart"/>
      <w:r w:rsidR="00A44E01" w:rsidRPr="00C04AE2">
        <w:rPr>
          <w:i/>
          <w:iCs/>
        </w:rPr>
        <w:t>F</w:t>
      </w:r>
      <w:r w:rsidR="00A44E01" w:rsidRPr="00C04AE2">
        <w:rPr>
          <w:i/>
          <w:iCs/>
          <w:vertAlign w:val="subscript"/>
        </w:rPr>
        <w:t>neo</w:t>
      </w:r>
      <w:proofErr w:type="spellEnd"/>
      <w:r w:rsidR="006655F0" w:rsidRPr="006655F0">
        <w:t xml:space="preserve"> = 360</w:t>
      </w:r>
      <w:r w:rsidR="009F4107">
        <w:t xml:space="preserve"> by default.</w:t>
      </w:r>
    </w:p>
    <w:p w14:paraId="442550BE" w14:textId="043415A9" w:rsidR="004C2F7B" w:rsidRPr="000A4D67" w:rsidRDefault="000A4D67" w:rsidP="0082745D">
      <w:pPr>
        <w:pStyle w:val="Heading1"/>
      </w:pPr>
      <w:r>
        <w:br w:type="column"/>
      </w:r>
      <w:r>
        <w:lastRenderedPageBreak/>
        <w:t>GAM analysis o</w:t>
      </w:r>
      <w:r w:rsidR="009D38AC">
        <w:t>f hydrophone</w:t>
      </w:r>
      <w:r>
        <w:t xml:space="preserve"> data</w:t>
      </w:r>
    </w:p>
    <w:p w14:paraId="1F353814" w14:textId="62D19913" w:rsidR="00F2440E" w:rsidRDefault="00F2440E" w:rsidP="00F2440E">
      <w:pPr>
        <w:pStyle w:val="NoSpacing"/>
        <w:jc w:val="left"/>
      </w:pPr>
      <w:r w:rsidRPr="006F6595">
        <w:rPr>
          <w:b/>
          <w:bCs/>
        </w:rPr>
        <w:t>Table S</w:t>
      </w:r>
      <w:r w:rsidRPr="006F6595">
        <w:rPr>
          <w:b/>
          <w:bCs/>
        </w:rPr>
        <w:fldChar w:fldCharType="begin"/>
      </w:r>
      <w:r w:rsidRPr="006F6595">
        <w:rPr>
          <w:b/>
          <w:bCs/>
        </w:rPr>
        <w:instrText xml:space="preserve"> SEQ Table_S \* ARABIC </w:instrText>
      </w:r>
      <w:r w:rsidRPr="006F6595">
        <w:rPr>
          <w:b/>
          <w:bCs/>
        </w:rPr>
        <w:fldChar w:fldCharType="separate"/>
      </w:r>
      <w:r w:rsidR="00F07D93">
        <w:rPr>
          <w:b/>
          <w:bCs/>
          <w:noProof/>
        </w:rPr>
        <w:t>4</w:t>
      </w:r>
      <w:r w:rsidRPr="006F6595">
        <w:rPr>
          <w:b/>
          <w:bCs/>
        </w:rPr>
        <w:fldChar w:fldCharType="end"/>
      </w:r>
      <w:r>
        <w:t>: Results of the Generalized Additive Model (GAM) on the hydrophone data from AUTEC. Adjusted R-square = 0.142; deviance explained = 9.8%; UBRE = 0.20909; n = 32334</w:t>
      </w:r>
    </w:p>
    <w:tbl>
      <w:tblPr>
        <w:tblStyle w:val="TableGrid"/>
        <w:tblW w:w="0" w:type="auto"/>
        <w:jc w:val="center"/>
        <w:tblBorders>
          <w:top w:val="single" w:sz="8" w:space="0" w:color="000000"/>
          <w:left w:val="none" w:sz="0" w:space="0" w:color="auto"/>
          <w:bottom w:val="single" w:sz="8" w:space="0" w:color="000000"/>
          <w:right w:val="none" w:sz="0" w:space="0" w:color="auto"/>
          <w:insideH w:val="none" w:sz="0" w:space="0" w:color="auto"/>
          <w:insideV w:val="none" w:sz="0" w:space="0" w:color="auto"/>
        </w:tblBorders>
        <w:tblLook w:val="04A0" w:firstRow="1" w:lastRow="0" w:firstColumn="1" w:lastColumn="0" w:noHBand="0" w:noVBand="1"/>
      </w:tblPr>
      <w:tblGrid>
        <w:gridCol w:w="2417"/>
        <w:gridCol w:w="1117"/>
        <w:gridCol w:w="1117"/>
        <w:gridCol w:w="1051"/>
        <w:gridCol w:w="928"/>
      </w:tblGrid>
      <w:tr w:rsidR="00A525BB" w:rsidRPr="00A02FF4" w14:paraId="00E8CA7D" w14:textId="3798E510" w:rsidTr="006052D4">
        <w:trPr>
          <w:jc w:val="center"/>
        </w:trPr>
        <w:tc>
          <w:tcPr>
            <w:tcW w:w="0" w:type="auto"/>
            <w:tcBorders>
              <w:bottom w:val="single" w:sz="8" w:space="0" w:color="000000"/>
            </w:tcBorders>
            <w:vAlign w:val="center"/>
          </w:tcPr>
          <w:p w14:paraId="2C787D56" w14:textId="34CEC2BB" w:rsidR="00C92158" w:rsidRPr="005A0323" w:rsidRDefault="00C92158" w:rsidP="00E42F52">
            <w:pPr>
              <w:pStyle w:val="NoSpacing"/>
              <w:rPr>
                <w:b/>
                <w:bCs/>
              </w:rPr>
            </w:pPr>
            <w:r w:rsidRPr="005A0323">
              <w:rPr>
                <w:b/>
                <w:bCs/>
              </w:rPr>
              <w:t>Parametric coefficients</w:t>
            </w:r>
          </w:p>
        </w:tc>
        <w:tc>
          <w:tcPr>
            <w:tcW w:w="0" w:type="auto"/>
            <w:tcBorders>
              <w:bottom w:val="single" w:sz="8" w:space="0" w:color="000000"/>
            </w:tcBorders>
            <w:vAlign w:val="center"/>
          </w:tcPr>
          <w:p w14:paraId="256D21E3" w14:textId="1B446DE5" w:rsidR="00C92158" w:rsidRPr="005A0323" w:rsidRDefault="00C92158" w:rsidP="00E42F52">
            <w:pPr>
              <w:pStyle w:val="NoSpacing"/>
              <w:rPr>
                <w:b/>
                <w:bCs/>
              </w:rPr>
            </w:pPr>
            <w:r w:rsidRPr="005A0323">
              <w:rPr>
                <w:b/>
                <w:bCs/>
              </w:rPr>
              <w:t>Estimate</w:t>
            </w:r>
          </w:p>
        </w:tc>
        <w:tc>
          <w:tcPr>
            <w:tcW w:w="0" w:type="auto"/>
            <w:tcBorders>
              <w:bottom w:val="single" w:sz="8" w:space="0" w:color="000000"/>
            </w:tcBorders>
            <w:vAlign w:val="center"/>
          </w:tcPr>
          <w:p w14:paraId="66B9CC8A" w14:textId="19E7CF23" w:rsidR="00C92158" w:rsidRPr="005A0323" w:rsidRDefault="00C92158" w:rsidP="00E42F52">
            <w:pPr>
              <w:pStyle w:val="NoSpacing"/>
              <w:rPr>
                <w:b/>
                <w:bCs/>
              </w:rPr>
            </w:pPr>
            <w:r w:rsidRPr="005A0323">
              <w:rPr>
                <w:b/>
                <w:bCs/>
              </w:rPr>
              <w:t>Std. error</w:t>
            </w:r>
          </w:p>
        </w:tc>
        <w:tc>
          <w:tcPr>
            <w:tcW w:w="0" w:type="auto"/>
            <w:tcBorders>
              <w:bottom w:val="single" w:sz="8" w:space="0" w:color="000000"/>
            </w:tcBorders>
            <w:vAlign w:val="center"/>
          </w:tcPr>
          <w:p w14:paraId="7D542FEF" w14:textId="2341C456" w:rsidR="00C92158" w:rsidRPr="005A0323" w:rsidRDefault="00C92158" w:rsidP="00E42F52">
            <w:pPr>
              <w:pStyle w:val="NoSpacing"/>
              <w:rPr>
                <w:b/>
                <w:bCs/>
              </w:rPr>
            </w:pPr>
            <w:r w:rsidRPr="005A0323">
              <w:rPr>
                <w:b/>
                <w:bCs/>
              </w:rPr>
              <w:t>Z-value</w:t>
            </w:r>
          </w:p>
        </w:tc>
        <w:tc>
          <w:tcPr>
            <w:tcW w:w="0" w:type="auto"/>
            <w:tcBorders>
              <w:bottom w:val="single" w:sz="8" w:space="0" w:color="000000"/>
            </w:tcBorders>
            <w:vAlign w:val="center"/>
          </w:tcPr>
          <w:p w14:paraId="7F987272" w14:textId="20E01D05" w:rsidR="00C92158" w:rsidRPr="005A0323" w:rsidRDefault="00C92158" w:rsidP="00E42F52">
            <w:pPr>
              <w:pStyle w:val="NoSpacing"/>
              <w:rPr>
                <w:b/>
                <w:bCs/>
              </w:rPr>
            </w:pPr>
            <w:r w:rsidRPr="005A0323">
              <w:rPr>
                <w:b/>
                <w:bCs/>
              </w:rPr>
              <w:t>P-value</w:t>
            </w:r>
          </w:p>
        </w:tc>
      </w:tr>
      <w:tr w:rsidR="00A525BB" w:rsidRPr="00A02FF4" w14:paraId="1C89539B" w14:textId="166B853D" w:rsidTr="006052D4">
        <w:trPr>
          <w:jc w:val="center"/>
        </w:trPr>
        <w:tc>
          <w:tcPr>
            <w:tcW w:w="0" w:type="auto"/>
            <w:tcBorders>
              <w:top w:val="single" w:sz="8" w:space="0" w:color="000000"/>
            </w:tcBorders>
          </w:tcPr>
          <w:p w14:paraId="7DACD6A7" w14:textId="055CA654" w:rsidR="00C92158" w:rsidRPr="00A02FF4" w:rsidRDefault="00C92158" w:rsidP="005A0323">
            <w:pPr>
              <w:pStyle w:val="NoSpacing"/>
              <w:jc w:val="left"/>
            </w:pPr>
            <w:r w:rsidRPr="00A02FF4">
              <w:t>(Intercept)</w:t>
            </w:r>
          </w:p>
        </w:tc>
        <w:tc>
          <w:tcPr>
            <w:tcW w:w="0" w:type="auto"/>
            <w:tcBorders>
              <w:top w:val="single" w:sz="8" w:space="0" w:color="000000"/>
            </w:tcBorders>
          </w:tcPr>
          <w:p w14:paraId="6AB3BC2D" w14:textId="4BE6D359" w:rsidR="00C92158" w:rsidRPr="00A02FF4" w:rsidRDefault="00C92158" w:rsidP="005A0323">
            <w:pPr>
              <w:pStyle w:val="NoSpacing"/>
              <w:jc w:val="left"/>
            </w:pPr>
            <w:r w:rsidRPr="00A02FF4">
              <w:t>-</w:t>
            </w:r>
            <w:r w:rsidR="00582A04" w:rsidRPr="00582A04">
              <w:t>6.291023</w:t>
            </w:r>
          </w:p>
        </w:tc>
        <w:tc>
          <w:tcPr>
            <w:tcW w:w="0" w:type="auto"/>
            <w:tcBorders>
              <w:top w:val="single" w:sz="8" w:space="0" w:color="000000"/>
            </w:tcBorders>
          </w:tcPr>
          <w:p w14:paraId="0C470B4D" w14:textId="7192226C" w:rsidR="00C92158" w:rsidRPr="00A02FF4" w:rsidRDefault="003D0ED2" w:rsidP="005A0323">
            <w:pPr>
              <w:pStyle w:val="NoSpacing"/>
              <w:jc w:val="left"/>
            </w:pPr>
            <w:r w:rsidRPr="003D0ED2">
              <w:t>0.007530</w:t>
            </w:r>
          </w:p>
        </w:tc>
        <w:tc>
          <w:tcPr>
            <w:tcW w:w="0" w:type="auto"/>
            <w:tcBorders>
              <w:top w:val="single" w:sz="8" w:space="0" w:color="000000"/>
            </w:tcBorders>
          </w:tcPr>
          <w:p w14:paraId="58AFFCE5" w14:textId="5A40D5A3" w:rsidR="00C92158" w:rsidRPr="00A02FF4" w:rsidRDefault="00381CB7" w:rsidP="005A0323">
            <w:pPr>
              <w:pStyle w:val="NoSpacing"/>
              <w:jc w:val="left"/>
            </w:pPr>
            <w:r w:rsidRPr="00381CB7">
              <w:t>-835.41</w:t>
            </w:r>
            <w:r w:rsidR="00C92158" w:rsidRPr="00A02FF4">
              <w:t xml:space="preserve">   </w:t>
            </w:r>
          </w:p>
        </w:tc>
        <w:tc>
          <w:tcPr>
            <w:tcW w:w="0" w:type="auto"/>
            <w:tcBorders>
              <w:top w:val="single" w:sz="8" w:space="0" w:color="000000"/>
            </w:tcBorders>
          </w:tcPr>
          <w:p w14:paraId="35E33886" w14:textId="123E4E0C" w:rsidR="00C92158" w:rsidRPr="00A02FF4" w:rsidRDefault="00C92158" w:rsidP="005A0323">
            <w:pPr>
              <w:pStyle w:val="NoSpacing"/>
              <w:jc w:val="left"/>
            </w:pPr>
            <w:r w:rsidRPr="00A02FF4">
              <w:t>&lt;2e-16</w:t>
            </w:r>
          </w:p>
        </w:tc>
      </w:tr>
      <w:tr w:rsidR="00A525BB" w:rsidRPr="00A02FF4" w14:paraId="33B4E29C" w14:textId="68FC2B78" w:rsidTr="006052D4">
        <w:trPr>
          <w:jc w:val="center"/>
        </w:trPr>
        <w:tc>
          <w:tcPr>
            <w:tcW w:w="0" w:type="auto"/>
          </w:tcPr>
          <w:p w14:paraId="5B59117C" w14:textId="7C4620AF" w:rsidR="00C92158" w:rsidRPr="00A02FF4" w:rsidRDefault="00C92158" w:rsidP="005A0323">
            <w:pPr>
              <w:pStyle w:val="NoSpacing"/>
              <w:jc w:val="left"/>
            </w:pPr>
            <w:r w:rsidRPr="00A02FF4">
              <w:t xml:space="preserve">Zone </w:t>
            </w:r>
            <w:r w:rsidR="00506128">
              <w:t>East</w:t>
            </w:r>
            <w:r w:rsidRPr="00A02FF4">
              <w:t xml:space="preserve">     </w:t>
            </w:r>
          </w:p>
        </w:tc>
        <w:tc>
          <w:tcPr>
            <w:tcW w:w="0" w:type="auto"/>
          </w:tcPr>
          <w:p w14:paraId="0300BA63" w14:textId="2960CF70" w:rsidR="00C92158" w:rsidRPr="00A02FF4" w:rsidRDefault="00506128" w:rsidP="005A0323">
            <w:pPr>
              <w:pStyle w:val="NoSpacing"/>
              <w:jc w:val="left"/>
            </w:pPr>
            <w:r>
              <w:t>-</w:t>
            </w:r>
            <w:r w:rsidR="00C92158" w:rsidRPr="00A02FF4">
              <w:t>0.350338</w:t>
            </w:r>
          </w:p>
        </w:tc>
        <w:tc>
          <w:tcPr>
            <w:tcW w:w="0" w:type="auto"/>
          </w:tcPr>
          <w:p w14:paraId="4DFB1080" w14:textId="54C00E64" w:rsidR="00C92158" w:rsidRPr="00A02FF4" w:rsidRDefault="00C92158" w:rsidP="005A0323">
            <w:pPr>
              <w:pStyle w:val="NoSpacing"/>
              <w:jc w:val="left"/>
            </w:pPr>
            <w:r w:rsidRPr="00A02FF4">
              <w:t xml:space="preserve">0.009431   </w:t>
            </w:r>
          </w:p>
        </w:tc>
        <w:tc>
          <w:tcPr>
            <w:tcW w:w="0" w:type="auto"/>
          </w:tcPr>
          <w:p w14:paraId="0EABE101" w14:textId="0202CAE4" w:rsidR="00C92158" w:rsidRPr="00A02FF4" w:rsidRDefault="00506128" w:rsidP="005A0323">
            <w:pPr>
              <w:pStyle w:val="NoSpacing"/>
              <w:jc w:val="left"/>
            </w:pPr>
            <w:r>
              <w:t>-</w:t>
            </w:r>
            <w:r w:rsidR="00C92158" w:rsidRPr="00A02FF4">
              <w:t xml:space="preserve">37.15 </w:t>
            </w:r>
          </w:p>
        </w:tc>
        <w:tc>
          <w:tcPr>
            <w:tcW w:w="0" w:type="auto"/>
          </w:tcPr>
          <w:p w14:paraId="2D1C7CAD" w14:textId="43F0EEC9" w:rsidR="00C92158" w:rsidRPr="00A02FF4" w:rsidRDefault="00C92158" w:rsidP="005A0323">
            <w:pPr>
              <w:pStyle w:val="NoSpacing"/>
              <w:jc w:val="left"/>
            </w:pPr>
            <w:r w:rsidRPr="00A02FF4">
              <w:t>&lt;2e-16</w:t>
            </w:r>
          </w:p>
        </w:tc>
      </w:tr>
      <w:tr w:rsidR="00A525BB" w:rsidRPr="00A02FF4" w14:paraId="78FB5E86" w14:textId="38E7C9C5" w:rsidTr="006052D4">
        <w:trPr>
          <w:jc w:val="center"/>
        </w:trPr>
        <w:tc>
          <w:tcPr>
            <w:tcW w:w="0" w:type="auto"/>
          </w:tcPr>
          <w:p w14:paraId="3D663890" w14:textId="4DD9471B" w:rsidR="00C92158" w:rsidRPr="00A02FF4" w:rsidRDefault="00C92158" w:rsidP="005A0323">
            <w:pPr>
              <w:pStyle w:val="NoSpacing"/>
              <w:jc w:val="left"/>
            </w:pPr>
            <w:r w:rsidRPr="00A02FF4">
              <w:t>Year 2014</w:t>
            </w:r>
          </w:p>
        </w:tc>
        <w:tc>
          <w:tcPr>
            <w:tcW w:w="0" w:type="auto"/>
          </w:tcPr>
          <w:p w14:paraId="1594C781" w14:textId="2389A70F" w:rsidR="00C92158" w:rsidRPr="00A02FF4" w:rsidRDefault="00C92158" w:rsidP="005A0323">
            <w:pPr>
              <w:pStyle w:val="NoSpacing"/>
              <w:jc w:val="left"/>
            </w:pPr>
            <w:r w:rsidRPr="00A02FF4">
              <w:t xml:space="preserve">-0.113552   </w:t>
            </w:r>
          </w:p>
        </w:tc>
        <w:tc>
          <w:tcPr>
            <w:tcW w:w="0" w:type="auto"/>
          </w:tcPr>
          <w:p w14:paraId="07B65584" w14:textId="548944F6" w:rsidR="00C92158" w:rsidRPr="00A02FF4" w:rsidRDefault="00C92158" w:rsidP="005A0323">
            <w:pPr>
              <w:pStyle w:val="NoSpacing"/>
              <w:jc w:val="left"/>
            </w:pPr>
            <w:r w:rsidRPr="00A02FF4">
              <w:t xml:space="preserve">0.009272  </w:t>
            </w:r>
          </w:p>
        </w:tc>
        <w:tc>
          <w:tcPr>
            <w:tcW w:w="0" w:type="auto"/>
          </w:tcPr>
          <w:p w14:paraId="211B7C66" w14:textId="0AF664E4" w:rsidR="00C92158" w:rsidRPr="00A02FF4" w:rsidRDefault="00C92158" w:rsidP="005A0323">
            <w:pPr>
              <w:pStyle w:val="NoSpacing"/>
              <w:jc w:val="left"/>
            </w:pPr>
            <w:r w:rsidRPr="00A02FF4">
              <w:t xml:space="preserve">-12.25   </w:t>
            </w:r>
          </w:p>
        </w:tc>
        <w:tc>
          <w:tcPr>
            <w:tcW w:w="0" w:type="auto"/>
          </w:tcPr>
          <w:p w14:paraId="2F346B00" w14:textId="1268A564" w:rsidR="00C92158" w:rsidRPr="00A02FF4" w:rsidRDefault="00C92158" w:rsidP="005A0323">
            <w:pPr>
              <w:pStyle w:val="NoSpacing"/>
              <w:jc w:val="left"/>
            </w:pPr>
            <w:r w:rsidRPr="00A02FF4">
              <w:t>&lt;2e-16</w:t>
            </w:r>
          </w:p>
        </w:tc>
      </w:tr>
      <w:tr w:rsidR="00A525BB" w:rsidRPr="00A02FF4" w14:paraId="329F689E" w14:textId="08F9B013" w:rsidTr="006052D4">
        <w:trPr>
          <w:jc w:val="center"/>
        </w:trPr>
        <w:tc>
          <w:tcPr>
            <w:tcW w:w="0" w:type="auto"/>
            <w:tcBorders>
              <w:bottom w:val="single" w:sz="8" w:space="0" w:color="000000"/>
            </w:tcBorders>
          </w:tcPr>
          <w:p w14:paraId="5E663603" w14:textId="77777777" w:rsidR="00C92158" w:rsidRPr="00A02FF4" w:rsidRDefault="00C92158" w:rsidP="00E42F52">
            <w:pPr>
              <w:pStyle w:val="NoSpacing"/>
            </w:pPr>
          </w:p>
        </w:tc>
        <w:tc>
          <w:tcPr>
            <w:tcW w:w="0" w:type="auto"/>
            <w:tcBorders>
              <w:bottom w:val="single" w:sz="8" w:space="0" w:color="000000"/>
            </w:tcBorders>
          </w:tcPr>
          <w:p w14:paraId="1232EA55" w14:textId="77777777" w:rsidR="00C92158" w:rsidRPr="00A02FF4" w:rsidRDefault="00C92158" w:rsidP="00E42F52">
            <w:pPr>
              <w:pStyle w:val="NoSpacing"/>
            </w:pPr>
          </w:p>
        </w:tc>
        <w:tc>
          <w:tcPr>
            <w:tcW w:w="0" w:type="auto"/>
            <w:tcBorders>
              <w:bottom w:val="single" w:sz="8" w:space="0" w:color="000000"/>
            </w:tcBorders>
          </w:tcPr>
          <w:p w14:paraId="46547F2B" w14:textId="77777777" w:rsidR="00C92158" w:rsidRPr="00A02FF4" w:rsidRDefault="00C92158" w:rsidP="00E42F52">
            <w:pPr>
              <w:pStyle w:val="NoSpacing"/>
            </w:pPr>
          </w:p>
        </w:tc>
        <w:tc>
          <w:tcPr>
            <w:tcW w:w="0" w:type="auto"/>
            <w:tcBorders>
              <w:bottom w:val="single" w:sz="8" w:space="0" w:color="000000"/>
            </w:tcBorders>
          </w:tcPr>
          <w:p w14:paraId="6BED7762" w14:textId="77777777" w:rsidR="00C92158" w:rsidRPr="00A02FF4" w:rsidRDefault="00C92158" w:rsidP="00E42F52">
            <w:pPr>
              <w:pStyle w:val="NoSpacing"/>
            </w:pPr>
          </w:p>
        </w:tc>
        <w:tc>
          <w:tcPr>
            <w:tcW w:w="0" w:type="auto"/>
            <w:tcBorders>
              <w:bottom w:val="single" w:sz="8" w:space="0" w:color="000000"/>
            </w:tcBorders>
          </w:tcPr>
          <w:p w14:paraId="6DE490E8" w14:textId="77777777" w:rsidR="00C92158" w:rsidRPr="00A02FF4" w:rsidRDefault="00C92158" w:rsidP="00E42F52">
            <w:pPr>
              <w:pStyle w:val="NoSpacing"/>
            </w:pPr>
          </w:p>
        </w:tc>
      </w:tr>
      <w:tr w:rsidR="00A525BB" w:rsidRPr="00A02FF4" w14:paraId="2EAD5841" w14:textId="74980379" w:rsidTr="006052D4">
        <w:trPr>
          <w:jc w:val="center"/>
        </w:trPr>
        <w:tc>
          <w:tcPr>
            <w:tcW w:w="0" w:type="auto"/>
            <w:tcBorders>
              <w:top w:val="single" w:sz="8" w:space="0" w:color="000000"/>
              <w:bottom w:val="single" w:sz="8" w:space="0" w:color="000000"/>
            </w:tcBorders>
          </w:tcPr>
          <w:p w14:paraId="287D40A1" w14:textId="202EF6EA" w:rsidR="00C92158" w:rsidRPr="005A0323" w:rsidRDefault="00000F69" w:rsidP="005A0323">
            <w:pPr>
              <w:pStyle w:val="NoSpacing"/>
              <w:jc w:val="left"/>
              <w:rPr>
                <w:b/>
                <w:bCs/>
              </w:rPr>
            </w:pPr>
            <w:r w:rsidRPr="005A0323">
              <w:rPr>
                <w:b/>
                <w:bCs/>
              </w:rPr>
              <w:t>Smooth terms</w:t>
            </w:r>
          </w:p>
        </w:tc>
        <w:tc>
          <w:tcPr>
            <w:tcW w:w="0" w:type="auto"/>
            <w:tcBorders>
              <w:top w:val="single" w:sz="8" w:space="0" w:color="000000"/>
              <w:bottom w:val="single" w:sz="8" w:space="0" w:color="000000"/>
            </w:tcBorders>
          </w:tcPr>
          <w:p w14:paraId="6825220C" w14:textId="52F398C9" w:rsidR="00C92158" w:rsidRPr="005A0323" w:rsidRDefault="00000F69" w:rsidP="005A0323">
            <w:pPr>
              <w:pStyle w:val="NoSpacing"/>
              <w:jc w:val="left"/>
              <w:rPr>
                <w:b/>
                <w:bCs/>
              </w:rPr>
            </w:pPr>
            <w:proofErr w:type="spellStart"/>
            <w:r w:rsidRPr="005A0323">
              <w:rPr>
                <w:b/>
                <w:bCs/>
              </w:rPr>
              <w:t>Edf</w:t>
            </w:r>
            <w:proofErr w:type="spellEnd"/>
          </w:p>
        </w:tc>
        <w:tc>
          <w:tcPr>
            <w:tcW w:w="0" w:type="auto"/>
            <w:tcBorders>
              <w:top w:val="single" w:sz="8" w:space="0" w:color="000000"/>
              <w:bottom w:val="single" w:sz="8" w:space="0" w:color="000000"/>
            </w:tcBorders>
          </w:tcPr>
          <w:p w14:paraId="73982416" w14:textId="2F346136" w:rsidR="00C92158" w:rsidRPr="005A0323" w:rsidRDefault="00000F69" w:rsidP="005A0323">
            <w:pPr>
              <w:pStyle w:val="NoSpacing"/>
              <w:jc w:val="left"/>
              <w:rPr>
                <w:b/>
                <w:bCs/>
              </w:rPr>
            </w:pPr>
            <w:proofErr w:type="spellStart"/>
            <w:r w:rsidRPr="005A0323">
              <w:rPr>
                <w:b/>
                <w:bCs/>
              </w:rPr>
              <w:t>Ref.df</w:t>
            </w:r>
            <w:proofErr w:type="spellEnd"/>
          </w:p>
        </w:tc>
        <w:tc>
          <w:tcPr>
            <w:tcW w:w="0" w:type="auto"/>
            <w:tcBorders>
              <w:top w:val="single" w:sz="8" w:space="0" w:color="000000"/>
              <w:bottom w:val="single" w:sz="8" w:space="0" w:color="000000"/>
            </w:tcBorders>
          </w:tcPr>
          <w:p w14:paraId="63B61E4B" w14:textId="7DA2F4A4" w:rsidR="00C92158" w:rsidRPr="005A0323" w:rsidRDefault="00000F69" w:rsidP="005A0323">
            <w:pPr>
              <w:pStyle w:val="NoSpacing"/>
              <w:jc w:val="left"/>
              <w:rPr>
                <w:b/>
                <w:bCs/>
              </w:rPr>
            </w:pPr>
            <w:proofErr w:type="spellStart"/>
            <w:r w:rsidRPr="005A0323">
              <w:rPr>
                <w:b/>
                <w:bCs/>
              </w:rPr>
              <w:t>Chi.sq</w:t>
            </w:r>
            <w:proofErr w:type="spellEnd"/>
          </w:p>
        </w:tc>
        <w:tc>
          <w:tcPr>
            <w:tcW w:w="0" w:type="auto"/>
            <w:tcBorders>
              <w:top w:val="single" w:sz="8" w:space="0" w:color="000000"/>
              <w:bottom w:val="single" w:sz="8" w:space="0" w:color="000000"/>
            </w:tcBorders>
          </w:tcPr>
          <w:p w14:paraId="06CA2814" w14:textId="3FBCEE21" w:rsidR="00C92158" w:rsidRPr="005A0323" w:rsidRDefault="00000F69" w:rsidP="005A0323">
            <w:pPr>
              <w:pStyle w:val="NoSpacing"/>
              <w:jc w:val="left"/>
              <w:rPr>
                <w:b/>
                <w:bCs/>
              </w:rPr>
            </w:pPr>
            <w:r w:rsidRPr="005A0323">
              <w:rPr>
                <w:b/>
                <w:bCs/>
              </w:rPr>
              <w:t>P-value</w:t>
            </w:r>
          </w:p>
        </w:tc>
      </w:tr>
      <w:tr w:rsidR="00A525BB" w:rsidRPr="00A02FF4" w14:paraId="665D2544" w14:textId="77777777" w:rsidTr="006052D4">
        <w:trPr>
          <w:jc w:val="center"/>
        </w:trPr>
        <w:tc>
          <w:tcPr>
            <w:tcW w:w="0" w:type="auto"/>
            <w:tcBorders>
              <w:top w:val="single" w:sz="8" w:space="0" w:color="000000"/>
            </w:tcBorders>
          </w:tcPr>
          <w:p w14:paraId="3467189A" w14:textId="1B875DCF" w:rsidR="00000F69" w:rsidRPr="00A02FF4" w:rsidRDefault="00000F69" w:rsidP="005A0323">
            <w:pPr>
              <w:pStyle w:val="NoSpacing"/>
              <w:jc w:val="left"/>
            </w:pPr>
            <w:r w:rsidRPr="00A02FF4">
              <w:t>Julian day</w:t>
            </w:r>
          </w:p>
        </w:tc>
        <w:tc>
          <w:tcPr>
            <w:tcW w:w="0" w:type="auto"/>
            <w:tcBorders>
              <w:top w:val="single" w:sz="8" w:space="0" w:color="000000"/>
            </w:tcBorders>
          </w:tcPr>
          <w:p w14:paraId="7227954C" w14:textId="44390E75" w:rsidR="00000F69" w:rsidRPr="00A02FF4" w:rsidRDefault="00000F69" w:rsidP="005A0323">
            <w:pPr>
              <w:pStyle w:val="NoSpacing"/>
              <w:jc w:val="left"/>
            </w:pPr>
            <w:r w:rsidRPr="00A02FF4">
              <w:t xml:space="preserve">7.885  </w:t>
            </w:r>
          </w:p>
        </w:tc>
        <w:tc>
          <w:tcPr>
            <w:tcW w:w="0" w:type="auto"/>
            <w:tcBorders>
              <w:top w:val="single" w:sz="8" w:space="0" w:color="000000"/>
            </w:tcBorders>
          </w:tcPr>
          <w:p w14:paraId="73977E24" w14:textId="6050FEB4" w:rsidR="00000F69" w:rsidRPr="00A02FF4" w:rsidRDefault="00000F69" w:rsidP="005A0323">
            <w:pPr>
              <w:pStyle w:val="NoSpacing"/>
              <w:jc w:val="left"/>
            </w:pPr>
            <w:r w:rsidRPr="00A02FF4">
              <w:t xml:space="preserve">8.000  </w:t>
            </w:r>
          </w:p>
        </w:tc>
        <w:tc>
          <w:tcPr>
            <w:tcW w:w="0" w:type="auto"/>
            <w:tcBorders>
              <w:top w:val="single" w:sz="8" w:space="0" w:color="000000"/>
            </w:tcBorders>
          </w:tcPr>
          <w:p w14:paraId="15CF1CE6" w14:textId="5538039B" w:rsidR="00000F69" w:rsidRPr="00A02FF4" w:rsidRDefault="00000F69" w:rsidP="005A0323">
            <w:pPr>
              <w:pStyle w:val="NoSpacing"/>
              <w:jc w:val="left"/>
            </w:pPr>
            <w:r w:rsidRPr="00A02FF4">
              <w:t xml:space="preserve">732.004  </w:t>
            </w:r>
          </w:p>
        </w:tc>
        <w:tc>
          <w:tcPr>
            <w:tcW w:w="0" w:type="auto"/>
            <w:tcBorders>
              <w:top w:val="single" w:sz="8" w:space="0" w:color="000000"/>
            </w:tcBorders>
          </w:tcPr>
          <w:p w14:paraId="459453BC" w14:textId="7331ECB3" w:rsidR="00000F69" w:rsidRPr="00A02FF4" w:rsidRDefault="00000F69" w:rsidP="005A0323">
            <w:pPr>
              <w:pStyle w:val="NoSpacing"/>
              <w:jc w:val="left"/>
            </w:pPr>
            <w:r w:rsidRPr="00A02FF4">
              <w:t>&lt;2e-16</w:t>
            </w:r>
          </w:p>
        </w:tc>
      </w:tr>
      <w:tr w:rsidR="00A525BB" w:rsidRPr="00A02FF4" w14:paraId="6EF6425E" w14:textId="77777777" w:rsidTr="006052D4">
        <w:trPr>
          <w:jc w:val="center"/>
        </w:trPr>
        <w:tc>
          <w:tcPr>
            <w:tcW w:w="0" w:type="auto"/>
          </w:tcPr>
          <w:p w14:paraId="3B451085" w14:textId="103A6747" w:rsidR="00000F69" w:rsidRPr="00A02FF4" w:rsidRDefault="00000F69" w:rsidP="005A0323">
            <w:pPr>
              <w:pStyle w:val="NoSpacing"/>
              <w:jc w:val="left"/>
            </w:pPr>
            <w:r w:rsidRPr="00A02FF4">
              <w:t>Hour</w:t>
            </w:r>
          </w:p>
        </w:tc>
        <w:tc>
          <w:tcPr>
            <w:tcW w:w="0" w:type="auto"/>
          </w:tcPr>
          <w:p w14:paraId="6397A14B" w14:textId="30CB9B97" w:rsidR="00000F69" w:rsidRPr="00A02FF4" w:rsidRDefault="00000F69" w:rsidP="005A0323">
            <w:pPr>
              <w:pStyle w:val="NoSpacing"/>
              <w:jc w:val="left"/>
            </w:pPr>
            <w:r w:rsidRPr="00A02FF4">
              <w:t xml:space="preserve">7.916  </w:t>
            </w:r>
          </w:p>
        </w:tc>
        <w:tc>
          <w:tcPr>
            <w:tcW w:w="0" w:type="auto"/>
          </w:tcPr>
          <w:p w14:paraId="4B13B86D" w14:textId="63AD81C5" w:rsidR="00000F69" w:rsidRPr="00A02FF4" w:rsidRDefault="00000F69" w:rsidP="005A0323">
            <w:pPr>
              <w:pStyle w:val="NoSpacing"/>
              <w:jc w:val="left"/>
            </w:pPr>
            <w:r w:rsidRPr="00A02FF4">
              <w:t>8.000</w:t>
            </w:r>
          </w:p>
        </w:tc>
        <w:tc>
          <w:tcPr>
            <w:tcW w:w="0" w:type="auto"/>
          </w:tcPr>
          <w:p w14:paraId="4E9702F1" w14:textId="4A4D4BFA" w:rsidR="00000F69" w:rsidRPr="00A02FF4" w:rsidRDefault="00000F69" w:rsidP="005A0323">
            <w:pPr>
              <w:pStyle w:val="NoSpacing"/>
              <w:jc w:val="left"/>
            </w:pPr>
            <w:r w:rsidRPr="00A02FF4">
              <w:t xml:space="preserve">1178.366  </w:t>
            </w:r>
          </w:p>
        </w:tc>
        <w:tc>
          <w:tcPr>
            <w:tcW w:w="0" w:type="auto"/>
          </w:tcPr>
          <w:p w14:paraId="1258AD1F" w14:textId="5D528FAE" w:rsidR="00000F69" w:rsidRPr="00A02FF4" w:rsidRDefault="00000F69" w:rsidP="005A0323">
            <w:pPr>
              <w:pStyle w:val="NoSpacing"/>
              <w:jc w:val="left"/>
            </w:pPr>
            <w:r w:rsidRPr="00A02FF4">
              <w:t>&lt;2e-16</w:t>
            </w:r>
          </w:p>
        </w:tc>
      </w:tr>
      <w:tr w:rsidR="00A525BB" w:rsidRPr="00A02FF4" w14:paraId="066A8BB5" w14:textId="77777777" w:rsidTr="006052D4">
        <w:trPr>
          <w:jc w:val="center"/>
        </w:trPr>
        <w:tc>
          <w:tcPr>
            <w:tcW w:w="0" w:type="auto"/>
          </w:tcPr>
          <w:p w14:paraId="28BF47BD" w14:textId="15369A54" w:rsidR="00000F69" w:rsidRPr="00A02FF4" w:rsidRDefault="00000F69" w:rsidP="005A0323">
            <w:pPr>
              <w:pStyle w:val="NoSpacing"/>
              <w:jc w:val="left"/>
            </w:pPr>
            <w:r w:rsidRPr="00A02FF4">
              <w:t>Standardized sonar area</w:t>
            </w:r>
          </w:p>
        </w:tc>
        <w:tc>
          <w:tcPr>
            <w:tcW w:w="0" w:type="auto"/>
          </w:tcPr>
          <w:p w14:paraId="4D2FE00C" w14:textId="7C616ADB" w:rsidR="00000F69" w:rsidRPr="00A02FF4" w:rsidRDefault="00000F69" w:rsidP="005A0323">
            <w:pPr>
              <w:pStyle w:val="NoSpacing"/>
              <w:jc w:val="left"/>
            </w:pPr>
            <w:r w:rsidRPr="00A02FF4">
              <w:t xml:space="preserve">3.197  </w:t>
            </w:r>
          </w:p>
        </w:tc>
        <w:tc>
          <w:tcPr>
            <w:tcW w:w="0" w:type="auto"/>
          </w:tcPr>
          <w:p w14:paraId="40B303A7" w14:textId="75D27894" w:rsidR="00000F69" w:rsidRPr="00A02FF4" w:rsidRDefault="00000F69" w:rsidP="005A0323">
            <w:pPr>
              <w:pStyle w:val="NoSpacing"/>
              <w:jc w:val="left"/>
            </w:pPr>
            <w:r w:rsidRPr="00A02FF4">
              <w:t xml:space="preserve">3.913   </w:t>
            </w:r>
          </w:p>
        </w:tc>
        <w:tc>
          <w:tcPr>
            <w:tcW w:w="0" w:type="auto"/>
          </w:tcPr>
          <w:p w14:paraId="2E9FE899" w14:textId="54975F86" w:rsidR="00000F69" w:rsidRPr="00A02FF4" w:rsidRDefault="00000F69" w:rsidP="005A0323">
            <w:pPr>
              <w:pStyle w:val="NoSpacing"/>
              <w:jc w:val="left"/>
            </w:pPr>
            <w:r w:rsidRPr="00A02FF4">
              <w:t xml:space="preserve">89.697  </w:t>
            </w:r>
          </w:p>
        </w:tc>
        <w:tc>
          <w:tcPr>
            <w:tcW w:w="0" w:type="auto"/>
          </w:tcPr>
          <w:p w14:paraId="47AB01A2" w14:textId="2A5A26AF" w:rsidR="00000F69" w:rsidRPr="00A02FF4" w:rsidRDefault="00000F69" w:rsidP="005A0323">
            <w:pPr>
              <w:pStyle w:val="NoSpacing"/>
              <w:jc w:val="left"/>
            </w:pPr>
            <w:r w:rsidRPr="00A02FF4">
              <w:t>&lt;2e-16</w:t>
            </w:r>
          </w:p>
        </w:tc>
      </w:tr>
      <w:tr w:rsidR="00A525BB" w:rsidRPr="00A02FF4" w14:paraId="54C626C9" w14:textId="77777777" w:rsidTr="006052D4">
        <w:trPr>
          <w:jc w:val="center"/>
        </w:trPr>
        <w:tc>
          <w:tcPr>
            <w:tcW w:w="0" w:type="auto"/>
          </w:tcPr>
          <w:p w14:paraId="1958BC19" w14:textId="6CE37FAC" w:rsidR="00000F69" w:rsidRPr="00A02FF4" w:rsidRDefault="00000F69" w:rsidP="005A0323">
            <w:pPr>
              <w:pStyle w:val="NoSpacing"/>
              <w:jc w:val="left"/>
            </w:pPr>
            <w:r w:rsidRPr="00A02FF4">
              <w:t>Time since last sonar</w:t>
            </w:r>
          </w:p>
        </w:tc>
        <w:tc>
          <w:tcPr>
            <w:tcW w:w="0" w:type="auto"/>
          </w:tcPr>
          <w:p w14:paraId="7C34D08A" w14:textId="7BFDBA3E" w:rsidR="00000F69" w:rsidRPr="00A02FF4" w:rsidRDefault="00000F69" w:rsidP="005A0323">
            <w:pPr>
              <w:pStyle w:val="NoSpacing"/>
              <w:jc w:val="left"/>
            </w:pPr>
            <w:r w:rsidRPr="00A02FF4">
              <w:t>7.646</w:t>
            </w:r>
          </w:p>
        </w:tc>
        <w:tc>
          <w:tcPr>
            <w:tcW w:w="0" w:type="auto"/>
          </w:tcPr>
          <w:p w14:paraId="11312696" w14:textId="7173D997" w:rsidR="00000F69" w:rsidRPr="00A02FF4" w:rsidRDefault="00000F69" w:rsidP="005A0323">
            <w:pPr>
              <w:pStyle w:val="NoSpacing"/>
              <w:jc w:val="left"/>
            </w:pPr>
            <w:r w:rsidRPr="00A02FF4">
              <w:t>8.522</w:t>
            </w:r>
          </w:p>
        </w:tc>
        <w:tc>
          <w:tcPr>
            <w:tcW w:w="0" w:type="auto"/>
          </w:tcPr>
          <w:p w14:paraId="25A20410" w14:textId="4E431C8E" w:rsidR="00000F69" w:rsidRPr="00A02FF4" w:rsidRDefault="00000F69" w:rsidP="005A0323">
            <w:pPr>
              <w:pStyle w:val="NoSpacing"/>
              <w:jc w:val="left"/>
            </w:pPr>
            <w:r w:rsidRPr="00A02FF4">
              <w:t xml:space="preserve">232.286  </w:t>
            </w:r>
          </w:p>
        </w:tc>
        <w:tc>
          <w:tcPr>
            <w:tcW w:w="0" w:type="auto"/>
          </w:tcPr>
          <w:p w14:paraId="53829CCC" w14:textId="17D38ABE" w:rsidR="00000F69" w:rsidRPr="00A02FF4" w:rsidRDefault="00000F69" w:rsidP="005A0323">
            <w:pPr>
              <w:pStyle w:val="NoSpacing"/>
              <w:jc w:val="left"/>
            </w:pPr>
            <w:r w:rsidRPr="00A02FF4">
              <w:t>&lt;2e-16</w:t>
            </w:r>
          </w:p>
        </w:tc>
      </w:tr>
      <w:tr w:rsidR="00A525BB" w:rsidRPr="00A02FF4" w14:paraId="54E5DC33" w14:textId="77777777" w:rsidTr="006052D4">
        <w:trPr>
          <w:jc w:val="center"/>
        </w:trPr>
        <w:tc>
          <w:tcPr>
            <w:tcW w:w="0" w:type="auto"/>
          </w:tcPr>
          <w:p w14:paraId="156922A6" w14:textId="4DD8912E" w:rsidR="00000F69" w:rsidRPr="00A02FF4" w:rsidRDefault="00000F69" w:rsidP="005A0323">
            <w:pPr>
              <w:pStyle w:val="NoSpacing"/>
              <w:jc w:val="left"/>
            </w:pPr>
            <w:r w:rsidRPr="00A02FF4">
              <w:t>Length of sonar event</w:t>
            </w:r>
          </w:p>
        </w:tc>
        <w:tc>
          <w:tcPr>
            <w:tcW w:w="0" w:type="auto"/>
          </w:tcPr>
          <w:p w14:paraId="7D63042E" w14:textId="14553377" w:rsidR="00000F69" w:rsidRPr="00A02FF4" w:rsidRDefault="00000F69" w:rsidP="005A0323">
            <w:pPr>
              <w:pStyle w:val="NoSpacing"/>
              <w:jc w:val="left"/>
            </w:pPr>
            <w:r w:rsidRPr="00A02FF4">
              <w:t xml:space="preserve">1.903  </w:t>
            </w:r>
          </w:p>
        </w:tc>
        <w:tc>
          <w:tcPr>
            <w:tcW w:w="0" w:type="auto"/>
          </w:tcPr>
          <w:p w14:paraId="5AA45CA9" w14:textId="2DDF2954" w:rsidR="00000F69" w:rsidRPr="00A02FF4" w:rsidRDefault="00000F69" w:rsidP="005A0323">
            <w:pPr>
              <w:pStyle w:val="NoSpacing"/>
              <w:jc w:val="left"/>
            </w:pPr>
            <w:r w:rsidRPr="00A02FF4">
              <w:t xml:space="preserve">2.400    </w:t>
            </w:r>
          </w:p>
        </w:tc>
        <w:tc>
          <w:tcPr>
            <w:tcW w:w="0" w:type="auto"/>
          </w:tcPr>
          <w:p w14:paraId="6E839449" w14:textId="636A5EAE" w:rsidR="00000F69" w:rsidRPr="00A02FF4" w:rsidRDefault="00000F69" w:rsidP="005A0323">
            <w:pPr>
              <w:pStyle w:val="NoSpacing"/>
              <w:jc w:val="left"/>
            </w:pPr>
            <w:r w:rsidRPr="00A02FF4">
              <w:t xml:space="preserve">2.906   </w:t>
            </w:r>
          </w:p>
        </w:tc>
        <w:tc>
          <w:tcPr>
            <w:tcW w:w="0" w:type="auto"/>
          </w:tcPr>
          <w:p w14:paraId="48DCAD01" w14:textId="4B01FDEC" w:rsidR="00000F69" w:rsidRPr="00A02FF4" w:rsidRDefault="00000F69" w:rsidP="005A0323">
            <w:pPr>
              <w:pStyle w:val="NoSpacing"/>
              <w:jc w:val="left"/>
            </w:pPr>
            <w:r w:rsidRPr="00A02FF4">
              <w:t>0.439</w:t>
            </w:r>
          </w:p>
        </w:tc>
      </w:tr>
    </w:tbl>
    <w:p w14:paraId="68A5C7F3" w14:textId="77777777" w:rsidR="00666B6A" w:rsidRDefault="00666B6A" w:rsidP="00666B6A">
      <w:pPr>
        <w:pStyle w:val="NoSpacing"/>
      </w:pPr>
    </w:p>
    <w:p w14:paraId="55E663C1" w14:textId="411E05AB" w:rsidR="00666B6A" w:rsidRDefault="00666B6A" w:rsidP="00666B6A">
      <w:pPr>
        <w:pStyle w:val="NoSpacing"/>
      </w:pPr>
    </w:p>
    <w:p w14:paraId="37CC4A36" w14:textId="77777777" w:rsidR="00666B6A" w:rsidRDefault="00666B6A" w:rsidP="00666B6A">
      <w:pPr>
        <w:pStyle w:val="NoSpacing"/>
      </w:pPr>
    </w:p>
    <w:p w14:paraId="6CC5C71A" w14:textId="4D7895AB" w:rsidR="00666B6A" w:rsidRPr="00666B6A" w:rsidRDefault="00666B6A" w:rsidP="00666B6A">
      <w:pPr>
        <w:pStyle w:val="NoSpacing"/>
        <w:jc w:val="left"/>
      </w:pPr>
      <w:r w:rsidRPr="00666B6A">
        <w:rPr>
          <w:b/>
          <w:bCs/>
        </w:rPr>
        <w:t>Figure S</w:t>
      </w:r>
      <w:r w:rsidRPr="00666B6A">
        <w:rPr>
          <w:b/>
          <w:bCs/>
        </w:rPr>
        <w:fldChar w:fldCharType="begin"/>
      </w:r>
      <w:r w:rsidRPr="00666B6A">
        <w:rPr>
          <w:b/>
          <w:bCs/>
        </w:rPr>
        <w:instrText xml:space="preserve"> SEQ Figure_S \* ARABIC </w:instrText>
      </w:r>
      <w:r w:rsidRPr="00666B6A">
        <w:rPr>
          <w:b/>
          <w:bCs/>
        </w:rPr>
        <w:fldChar w:fldCharType="separate"/>
      </w:r>
      <w:r w:rsidR="00F07D93">
        <w:rPr>
          <w:b/>
          <w:bCs/>
          <w:noProof/>
        </w:rPr>
        <w:t>3</w:t>
      </w:r>
      <w:r w:rsidRPr="00666B6A">
        <w:rPr>
          <w:b/>
          <w:bCs/>
        </w:rPr>
        <w:fldChar w:fldCharType="end"/>
      </w:r>
      <w:r>
        <w:t>: Smooth terms of the GAM on the hydrophone data from AUTEC</w:t>
      </w:r>
    </w:p>
    <w:p w14:paraId="587DFC58" w14:textId="15D28912" w:rsidR="003015EB" w:rsidRDefault="00666B6A" w:rsidP="00666B6A">
      <w:pPr>
        <w:pStyle w:val="NoSpacing"/>
      </w:pPr>
      <w:r>
        <w:rPr>
          <w:noProof/>
        </w:rPr>
        <w:drawing>
          <wp:inline distT="0" distB="0" distL="0" distR="0" wp14:anchorId="3ABA436E" wp14:editId="27D56BAC">
            <wp:extent cx="5943600" cy="39624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12CF7" w14:textId="0186DDC5" w:rsidR="00666B6A" w:rsidRDefault="00666B6A" w:rsidP="00666B6A">
      <w:pPr>
        <w:pStyle w:val="NoSpacing"/>
      </w:pPr>
    </w:p>
    <w:p w14:paraId="2DF68078" w14:textId="64AB5462" w:rsidR="00666B6A" w:rsidRDefault="00666B6A" w:rsidP="00666B6A">
      <w:pPr>
        <w:pStyle w:val="NoSpacing"/>
      </w:pPr>
    </w:p>
    <w:p w14:paraId="1BD12250" w14:textId="77777777" w:rsidR="00666B6A" w:rsidRDefault="00666B6A" w:rsidP="00666B6A">
      <w:pPr>
        <w:pStyle w:val="NoSpacing"/>
      </w:pPr>
    </w:p>
    <w:p w14:paraId="66675FA5" w14:textId="134CAE51" w:rsidR="007978DF" w:rsidRDefault="00666B6A" w:rsidP="00785519">
      <w:pPr>
        <w:pStyle w:val="NoSpacing"/>
        <w:jc w:val="left"/>
      </w:pPr>
      <w:r>
        <w:br w:type="column"/>
      </w:r>
      <w:r w:rsidR="00DA1036" w:rsidRPr="00AF7FA3">
        <w:rPr>
          <w:b/>
          <w:bCs/>
        </w:rPr>
        <w:lastRenderedPageBreak/>
        <w:t>Table S</w:t>
      </w:r>
      <w:r w:rsidR="00DA1036" w:rsidRPr="00AF7FA3">
        <w:rPr>
          <w:b/>
          <w:bCs/>
        </w:rPr>
        <w:fldChar w:fldCharType="begin"/>
      </w:r>
      <w:r w:rsidR="00DA1036" w:rsidRPr="00AF7FA3">
        <w:rPr>
          <w:b/>
          <w:bCs/>
        </w:rPr>
        <w:instrText xml:space="preserve"> SEQ Table_S \* ARABIC </w:instrText>
      </w:r>
      <w:r w:rsidR="00DA1036" w:rsidRPr="00AF7FA3">
        <w:rPr>
          <w:b/>
          <w:bCs/>
        </w:rPr>
        <w:fldChar w:fldCharType="separate"/>
      </w:r>
      <w:r w:rsidR="00F07D93">
        <w:rPr>
          <w:b/>
          <w:bCs/>
          <w:noProof/>
        </w:rPr>
        <w:t>5</w:t>
      </w:r>
      <w:r w:rsidR="00DA1036" w:rsidRPr="00AF7FA3">
        <w:rPr>
          <w:b/>
          <w:bCs/>
        </w:rPr>
        <w:fldChar w:fldCharType="end"/>
      </w:r>
      <w:r w:rsidR="00DA1036" w:rsidRPr="00DA1036">
        <w:t xml:space="preserve">: Results of the Generalized Additive Model (GAM) on the hydrophone data from </w:t>
      </w:r>
      <w:r w:rsidR="00DF2582">
        <w:t>SCORE</w:t>
      </w:r>
      <w:r w:rsidR="00DA1036" w:rsidRPr="00DA1036">
        <w:t xml:space="preserve">. Adjusted R-square = </w:t>
      </w:r>
      <w:r w:rsidR="00DF2582" w:rsidRPr="00DF2582">
        <w:t>0.121</w:t>
      </w:r>
      <w:r w:rsidR="00DA1036" w:rsidRPr="00DA1036">
        <w:t xml:space="preserve">; deviance explained = </w:t>
      </w:r>
      <w:r w:rsidR="00B70BD8">
        <w:t>13</w:t>
      </w:r>
      <w:r w:rsidR="00DA1036" w:rsidRPr="00DA1036">
        <w:t xml:space="preserve">%; UBRE = </w:t>
      </w:r>
      <w:r w:rsidR="008F0EB2" w:rsidRPr="008F0EB2">
        <w:t>0.24375</w:t>
      </w:r>
      <w:r w:rsidR="00DA1036" w:rsidRPr="00DA1036">
        <w:t>; n =</w:t>
      </w:r>
      <w:r w:rsidR="008F0EB2">
        <w:t xml:space="preserve"> </w:t>
      </w:r>
      <w:r w:rsidR="008F0EB2" w:rsidRPr="008F0EB2">
        <w:t>23300</w:t>
      </w:r>
    </w:p>
    <w:tbl>
      <w:tblPr>
        <w:tblStyle w:val="TableGrid"/>
        <w:tblW w:w="0" w:type="auto"/>
        <w:jc w:val="center"/>
        <w:tblBorders>
          <w:top w:val="single" w:sz="8" w:space="0" w:color="000000"/>
          <w:left w:val="none" w:sz="0" w:space="0" w:color="auto"/>
          <w:bottom w:val="single" w:sz="8" w:space="0" w:color="000000"/>
          <w:right w:val="none" w:sz="0" w:space="0" w:color="auto"/>
          <w:insideH w:val="none" w:sz="0" w:space="0" w:color="auto"/>
          <w:insideV w:val="none" w:sz="0" w:space="0" w:color="auto"/>
        </w:tblBorders>
        <w:tblLook w:val="04A0" w:firstRow="1" w:lastRow="0" w:firstColumn="1" w:lastColumn="0" w:noHBand="0" w:noVBand="1"/>
      </w:tblPr>
      <w:tblGrid>
        <w:gridCol w:w="2417"/>
        <w:gridCol w:w="1117"/>
        <w:gridCol w:w="1117"/>
        <w:gridCol w:w="1006"/>
        <w:gridCol w:w="939"/>
      </w:tblGrid>
      <w:tr w:rsidR="00C42A65" w:rsidRPr="00A02FF4" w14:paraId="731A09EB" w14:textId="77777777" w:rsidTr="00B064E1">
        <w:trPr>
          <w:jc w:val="center"/>
        </w:trPr>
        <w:tc>
          <w:tcPr>
            <w:tcW w:w="0" w:type="auto"/>
            <w:tcBorders>
              <w:bottom w:val="single" w:sz="8" w:space="0" w:color="000000"/>
            </w:tcBorders>
            <w:vAlign w:val="center"/>
          </w:tcPr>
          <w:p w14:paraId="285B80E0" w14:textId="77777777" w:rsidR="00C42A65" w:rsidRPr="001A4F22" w:rsidRDefault="00C42A65" w:rsidP="001A4F22">
            <w:pPr>
              <w:pStyle w:val="NoSpacing"/>
              <w:jc w:val="left"/>
              <w:rPr>
                <w:b/>
                <w:bCs/>
              </w:rPr>
            </w:pPr>
            <w:r w:rsidRPr="001A4F22">
              <w:rPr>
                <w:b/>
                <w:bCs/>
              </w:rPr>
              <w:t>Parametric coefficients</w:t>
            </w:r>
          </w:p>
        </w:tc>
        <w:tc>
          <w:tcPr>
            <w:tcW w:w="0" w:type="auto"/>
            <w:tcBorders>
              <w:bottom w:val="single" w:sz="8" w:space="0" w:color="000000"/>
            </w:tcBorders>
            <w:vAlign w:val="center"/>
          </w:tcPr>
          <w:p w14:paraId="596BEBE3" w14:textId="77777777" w:rsidR="00C42A65" w:rsidRPr="001A4F22" w:rsidRDefault="00C42A65" w:rsidP="001A4F22">
            <w:pPr>
              <w:pStyle w:val="NoSpacing"/>
              <w:jc w:val="left"/>
              <w:rPr>
                <w:b/>
                <w:bCs/>
              </w:rPr>
            </w:pPr>
            <w:r w:rsidRPr="001A4F22">
              <w:rPr>
                <w:b/>
                <w:bCs/>
              </w:rPr>
              <w:t>Estimate</w:t>
            </w:r>
          </w:p>
        </w:tc>
        <w:tc>
          <w:tcPr>
            <w:tcW w:w="0" w:type="auto"/>
            <w:tcBorders>
              <w:bottom w:val="single" w:sz="8" w:space="0" w:color="000000"/>
            </w:tcBorders>
            <w:vAlign w:val="center"/>
          </w:tcPr>
          <w:p w14:paraId="1C454D7E" w14:textId="77777777" w:rsidR="00C42A65" w:rsidRPr="001A4F22" w:rsidRDefault="00C42A65" w:rsidP="001A4F22">
            <w:pPr>
              <w:pStyle w:val="NoSpacing"/>
              <w:jc w:val="left"/>
              <w:rPr>
                <w:b/>
                <w:bCs/>
              </w:rPr>
            </w:pPr>
            <w:r w:rsidRPr="001A4F22">
              <w:rPr>
                <w:b/>
                <w:bCs/>
              </w:rPr>
              <w:t>Std. error</w:t>
            </w:r>
          </w:p>
        </w:tc>
        <w:tc>
          <w:tcPr>
            <w:tcW w:w="0" w:type="auto"/>
            <w:tcBorders>
              <w:bottom w:val="single" w:sz="8" w:space="0" w:color="000000"/>
            </w:tcBorders>
            <w:vAlign w:val="center"/>
          </w:tcPr>
          <w:p w14:paraId="29BA8F13" w14:textId="77777777" w:rsidR="00C42A65" w:rsidRPr="001A4F22" w:rsidRDefault="00C42A65" w:rsidP="001A4F22">
            <w:pPr>
              <w:pStyle w:val="NoSpacing"/>
              <w:jc w:val="left"/>
              <w:rPr>
                <w:b/>
                <w:bCs/>
              </w:rPr>
            </w:pPr>
            <w:r w:rsidRPr="001A4F22">
              <w:rPr>
                <w:b/>
                <w:bCs/>
              </w:rPr>
              <w:t>Z-value</w:t>
            </w:r>
          </w:p>
        </w:tc>
        <w:tc>
          <w:tcPr>
            <w:tcW w:w="0" w:type="auto"/>
            <w:tcBorders>
              <w:bottom w:val="single" w:sz="8" w:space="0" w:color="000000"/>
            </w:tcBorders>
            <w:vAlign w:val="center"/>
          </w:tcPr>
          <w:p w14:paraId="750F9D7F" w14:textId="77777777" w:rsidR="00C42A65" w:rsidRPr="001A4F22" w:rsidRDefault="00C42A65" w:rsidP="001A4F22">
            <w:pPr>
              <w:pStyle w:val="NoSpacing"/>
              <w:jc w:val="left"/>
              <w:rPr>
                <w:b/>
                <w:bCs/>
              </w:rPr>
            </w:pPr>
            <w:r w:rsidRPr="001A4F22">
              <w:rPr>
                <w:b/>
                <w:bCs/>
              </w:rPr>
              <w:t>P-value</w:t>
            </w:r>
          </w:p>
        </w:tc>
      </w:tr>
      <w:tr w:rsidR="00C42A65" w:rsidRPr="00A02FF4" w14:paraId="37CFC5C0" w14:textId="77777777" w:rsidTr="00B064E1">
        <w:trPr>
          <w:jc w:val="center"/>
        </w:trPr>
        <w:tc>
          <w:tcPr>
            <w:tcW w:w="0" w:type="auto"/>
            <w:tcBorders>
              <w:top w:val="single" w:sz="8" w:space="0" w:color="000000"/>
            </w:tcBorders>
          </w:tcPr>
          <w:p w14:paraId="48FB7515" w14:textId="77777777" w:rsidR="00C42A65" w:rsidRPr="00A02FF4" w:rsidRDefault="00C42A65" w:rsidP="001A4F22">
            <w:pPr>
              <w:pStyle w:val="NoSpacing"/>
              <w:jc w:val="left"/>
            </w:pPr>
            <w:r w:rsidRPr="00A02FF4">
              <w:t>(Intercept)</w:t>
            </w:r>
          </w:p>
        </w:tc>
        <w:tc>
          <w:tcPr>
            <w:tcW w:w="0" w:type="auto"/>
            <w:tcBorders>
              <w:top w:val="single" w:sz="8" w:space="0" w:color="000000"/>
            </w:tcBorders>
          </w:tcPr>
          <w:p w14:paraId="71C77214" w14:textId="0423B991" w:rsidR="00C42A65" w:rsidRPr="00A02FF4" w:rsidRDefault="003015EB" w:rsidP="001A4F22">
            <w:pPr>
              <w:pStyle w:val="NoSpacing"/>
              <w:jc w:val="left"/>
            </w:pPr>
            <w:r>
              <w:t>-</w:t>
            </w:r>
            <w:r w:rsidR="00BB16C0" w:rsidRPr="00BB16C0">
              <w:t>20.80495</w:t>
            </w:r>
          </w:p>
        </w:tc>
        <w:tc>
          <w:tcPr>
            <w:tcW w:w="0" w:type="auto"/>
            <w:tcBorders>
              <w:top w:val="single" w:sz="8" w:space="0" w:color="000000"/>
            </w:tcBorders>
          </w:tcPr>
          <w:p w14:paraId="0B70661A" w14:textId="1DE971E4" w:rsidR="00C42A65" w:rsidRPr="00A02FF4" w:rsidRDefault="00BB16C0" w:rsidP="001A4F22">
            <w:pPr>
              <w:pStyle w:val="NoSpacing"/>
              <w:jc w:val="left"/>
            </w:pPr>
            <w:r w:rsidRPr="00BB16C0">
              <w:t>0.01197</w:t>
            </w:r>
          </w:p>
        </w:tc>
        <w:tc>
          <w:tcPr>
            <w:tcW w:w="0" w:type="auto"/>
            <w:tcBorders>
              <w:top w:val="single" w:sz="8" w:space="0" w:color="000000"/>
            </w:tcBorders>
          </w:tcPr>
          <w:p w14:paraId="7209983B" w14:textId="3ECA63FD" w:rsidR="00C42A65" w:rsidRPr="00A02FF4" w:rsidRDefault="003015EB" w:rsidP="001A4F22">
            <w:pPr>
              <w:pStyle w:val="NoSpacing"/>
              <w:jc w:val="left"/>
            </w:pPr>
            <w:r>
              <w:t>-</w:t>
            </w:r>
            <w:r w:rsidR="00BB16C0" w:rsidRPr="00BB16C0">
              <w:t>1738.60</w:t>
            </w:r>
          </w:p>
        </w:tc>
        <w:tc>
          <w:tcPr>
            <w:tcW w:w="0" w:type="auto"/>
            <w:tcBorders>
              <w:top w:val="single" w:sz="8" w:space="0" w:color="000000"/>
            </w:tcBorders>
          </w:tcPr>
          <w:p w14:paraId="752216C0" w14:textId="77777777" w:rsidR="00C42A65" w:rsidRPr="00A02FF4" w:rsidRDefault="00C42A65" w:rsidP="001A4F22">
            <w:pPr>
              <w:pStyle w:val="NoSpacing"/>
              <w:jc w:val="left"/>
            </w:pPr>
            <w:r w:rsidRPr="00A02FF4">
              <w:t>&lt;2e-16</w:t>
            </w:r>
          </w:p>
        </w:tc>
      </w:tr>
      <w:tr w:rsidR="00C42A65" w:rsidRPr="00A02FF4" w14:paraId="7E6FB1AF" w14:textId="77777777" w:rsidTr="00B064E1">
        <w:trPr>
          <w:jc w:val="center"/>
        </w:trPr>
        <w:tc>
          <w:tcPr>
            <w:tcW w:w="0" w:type="auto"/>
          </w:tcPr>
          <w:p w14:paraId="38E23649" w14:textId="06A59B7A" w:rsidR="00C42A65" w:rsidRPr="00A02FF4" w:rsidRDefault="00C42A65" w:rsidP="001A4F22">
            <w:pPr>
              <w:pStyle w:val="NoSpacing"/>
              <w:jc w:val="left"/>
            </w:pPr>
            <w:r w:rsidRPr="00A02FF4">
              <w:t xml:space="preserve">Zone </w:t>
            </w:r>
            <w:r w:rsidR="002055C8">
              <w:t>East</w:t>
            </w:r>
          </w:p>
        </w:tc>
        <w:tc>
          <w:tcPr>
            <w:tcW w:w="0" w:type="auto"/>
          </w:tcPr>
          <w:p w14:paraId="594958B3" w14:textId="51BAA60F" w:rsidR="00C42A65" w:rsidRPr="00A02FF4" w:rsidRDefault="003015EB" w:rsidP="001A4F22">
            <w:pPr>
              <w:pStyle w:val="NoSpacing"/>
              <w:jc w:val="left"/>
            </w:pPr>
            <w:r>
              <w:t>-0.21907</w:t>
            </w:r>
          </w:p>
        </w:tc>
        <w:tc>
          <w:tcPr>
            <w:tcW w:w="0" w:type="auto"/>
          </w:tcPr>
          <w:p w14:paraId="6DDC9E1F" w14:textId="4E1199CF" w:rsidR="00C42A65" w:rsidRPr="00A02FF4" w:rsidRDefault="003015EB" w:rsidP="001A4F22">
            <w:pPr>
              <w:pStyle w:val="NoSpacing"/>
              <w:jc w:val="left"/>
            </w:pPr>
            <w:r>
              <w:t>0.01331</w:t>
            </w:r>
          </w:p>
        </w:tc>
        <w:tc>
          <w:tcPr>
            <w:tcW w:w="0" w:type="auto"/>
          </w:tcPr>
          <w:p w14:paraId="43AAF5F6" w14:textId="7810142B" w:rsidR="00C42A65" w:rsidRPr="00A02FF4" w:rsidRDefault="003015EB" w:rsidP="001A4F22">
            <w:pPr>
              <w:pStyle w:val="NoSpacing"/>
              <w:jc w:val="left"/>
            </w:pPr>
            <w:r>
              <w:t>-16.45</w:t>
            </w:r>
          </w:p>
        </w:tc>
        <w:tc>
          <w:tcPr>
            <w:tcW w:w="0" w:type="auto"/>
          </w:tcPr>
          <w:p w14:paraId="10AAAB06" w14:textId="77777777" w:rsidR="00C42A65" w:rsidRPr="00A02FF4" w:rsidRDefault="00C42A65" w:rsidP="001A4F22">
            <w:pPr>
              <w:pStyle w:val="NoSpacing"/>
              <w:jc w:val="left"/>
            </w:pPr>
            <w:r w:rsidRPr="00A02FF4">
              <w:t>&lt;2e-16</w:t>
            </w:r>
          </w:p>
        </w:tc>
      </w:tr>
      <w:tr w:rsidR="00C42A65" w:rsidRPr="00A02FF4" w14:paraId="6A26799A" w14:textId="77777777" w:rsidTr="00B064E1">
        <w:trPr>
          <w:jc w:val="center"/>
        </w:trPr>
        <w:tc>
          <w:tcPr>
            <w:tcW w:w="0" w:type="auto"/>
          </w:tcPr>
          <w:p w14:paraId="1E0082BC" w14:textId="4785799E" w:rsidR="00C42A65" w:rsidRPr="00A02FF4" w:rsidRDefault="00C42A65" w:rsidP="001A4F22">
            <w:pPr>
              <w:pStyle w:val="NoSpacing"/>
              <w:jc w:val="left"/>
            </w:pPr>
            <w:r w:rsidRPr="00A02FF4">
              <w:t>Year 201</w:t>
            </w:r>
            <w:r w:rsidR="00BC7255">
              <w:t>5</w:t>
            </w:r>
          </w:p>
        </w:tc>
        <w:tc>
          <w:tcPr>
            <w:tcW w:w="0" w:type="auto"/>
          </w:tcPr>
          <w:p w14:paraId="14A41907" w14:textId="301CB187" w:rsidR="00C42A65" w:rsidRPr="00A02FF4" w:rsidRDefault="003015EB" w:rsidP="001A4F22">
            <w:pPr>
              <w:pStyle w:val="NoSpacing"/>
              <w:jc w:val="left"/>
            </w:pPr>
            <w:r>
              <w:t>-0.20165</w:t>
            </w:r>
          </w:p>
        </w:tc>
        <w:tc>
          <w:tcPr>
            <w:tcW w:w="0" w:type="auto"/>
          </w:tcPr>
          <w:p w14:paraId="7660D3E4" w14:textId="70CCB38C" w:rsidR="00C42A65" w:rsidRPr="00A02FF4" w:rsidRDefault="003015EB" w:rsidP="001A4F22">
            <w:pPr>
              <w:pStyle w:val="NoSpacing"/>
              <w:jc w:val="left"/>
            </w:pPr>
            <w:r>
              <w:t>0.01359</w:t>
            </w:r>
          </w:p>
        </w:tc>
        <w:tc>
          <w:tcPr>
            <w:tcW w:w="0" w:type="auto"/>
          </w:tcPr>
          <w:p w14:paraId="7BADD46D" w14:textId="174620C5" w:rsidR="00C42A65" w:rsidRPr="00A02FF4" w:rsidRDefault="003015EB" w:rsidP="001A4F22">
            <w:pPr>
              <w:pStyle w:val="NoSpacing"/>
              <w:jc w:val="left"/>
            </w:pPr>
            <w:r>
              <w:t>-14.83</w:t>
            </w:r>
          </w:p>
        </w:tc>
        <w:tc>
          <w:tcPr>
            <w:tcW w:w="0" w:type="auto"/>
          </w:tcPr>
          <w:p w14:paraId="56BB4A83" w14:textId="77777777" w:rsidR="00C42A65" w:rsidRPr="00A02FF4" w:rsidRDefault="00C42A65" w:rsidP="001A4F22">
            <w:pPr>
              <w:pStyle w:val="NoSpacing"/>
              <w:jc w:val="left"/>
            </w:pPr>
            <w:r w:rsidRPr="00A02FF4">
              <w:t>&lt;2e-16</w:t>
            </w:r>
          </w:p>
        </w:tc>
      </w:tr>
      <w:tr w:rsidR="00C42A65" w:rsidRPr="00A02FF4" w14:paraId="2E1BC211" w14:textId="77777777" w:rsidTr="00B064E1">
        <w:trPr>
          <w:jc w:val="center"/>
        </w:trPr>
        <w:tc>
          <w:tcPr>
            <w:tcW w:w="0" w:type="auto"/>
            <w:tcBorders>
              <w:bottom w:val="single" w:sz="8" w:space="0" w:color="000000"/>
            </w:tcBorders>
          </w:tcPr>
          <w:p w14:paraId="6113E601" w14:textId="77777777" w:rsidR="00C42A65" w:rsidRPr="00A02FF4" w:rsidRDefault="00C42A65" w:rsidP="00E42F52">
            <w:pPr>
              <w:pStyle w:val="NoSpacing"/>
            </w:pPr>
          </w:p>
        </w:tc>
        <w:tc>
          <w:tcPr>
            <w:tcW w:w="0" w:type="auto"/>
            <w:tcBorders>
              <w:bottom w:val="single" w:sz="8" w:space="0" w:color="000000"/>
            </w:tcBorders>
          </w:tcPr>
          <w:p w14:paraId="536BA521" w14:textId="77777777" w:rsidR="00C42A65" w:rsidRPr="00A02FF4" w:rsidRDefault="00C42A65" w:rsidP="00E42F52">
            <w:pPr>
              <w:pStyle w:val="NoSpacing"/>
            </w:pPr>
          </w:p>
        </w:tc>
        <w:tc>
          <w:tcPr>
            <w:tcW w:w="0" w:type="auto"/>
            <w:tcBorders>
              <w:bottom w:val="single" w:sz="8" w:space="0" w:color="000000"/>
            </w:tcBorders>
          </w:tcPr>
          <w:p w14:paraId="63AACAFD" w14:textId="77777777" w:rsidR="00C42A65" w:rsidRPr="00A02FF4" w:rsidRDefault="00C42A65" w:rsidP="00E42F52">
            <w:pPr>
              <w:pStyle w:val="NoSpacing"/>
            </w:pPr>
          </w:p>
        </w:tc>
        <w:tc>
          <w:tcPr>
            <w:tcW w:w="0" w:type="auto"/>
            <w:tcBorders>
              <w:bottom w:val="single" w:sz="8" w:space="0" w:color="000000"/>
            </w:tcBorders>
          </w:tcPr>
          <w:p w14:paraId="2A3A2A3F" w14:textId="77777777" w:rsidR="00C42A65" w:rsidRPr="00A02FF4" w:rsidRDefault="00C42A65" w:rsidP="00E42F52">
            <w:pPr>
              <w:pStyle w:val="NoSpacing"/>
            </w:pPr>
          </w:p>
        </w:tc>
        <w:tc>
          <w:tcPr>
            <w:tcW w:w="0" w:type="auto"/>
            <w:tcBorders>
              <w:bottom w:val="single" w:sz="8" w:space="0" w:color="000000"/>
            </w:tcBorders>
          </w:tcPr>
          <w:p w14:paraId="147380AA" w14:textId="77777777" w:rsidR="00C42A65" w:rsidRPr="00A02FF4" w:rsidRDefault="00C42A65" w:rsidP="00E42F52">
            <w:pPr>
              <w:pStyle w:val="NoSpacing"/>
            </w:pPr>
          </w:p>
        </w:tc>
      </w:tr>
      <w:tr w:rsidR="00C42A65" w:rsidRPr="001A4F22" w14:paraId="2548AE53" w14:textId="77777777" w:rsidTr="00B064E1">
        <w:trPr>
          <w:jc w:val="center"/>
        </w:trPr>
        <w:tc>
          <w:tcPr>
            <w:tcW w:w="0" w:type="auto"/>
            <w:tcBorders>
              <w:top w:val="single" w:sz="8" w:space="0" w:color="000000"/>
              <w:bottom w:val="single" w:sz="8" w:space="0" w:color="000000"/>
            </w:tcBorders>
          </w:tcPr>
          <w:p w14:paraId="79F0C483" w14:textId="77777777" w:rsidR="00C42A65" w:rsidRPr="001A4F22" w:rsidRDefault="00C42A65" w:rsidP="001A4F22">
            <w:pPr>
              <w:pStyle w:val="NoSpacing"/>
              <w:jc w:val="left"/>
              <w:rPr>
                <w:b/>
                <w:bCs/>
              </w:rPr>
            </w:pPr>
            <w:r w:rsidRPr="001A4F22">
              <w:rPr>
                <w:b/>
                <w:bCs/>
              </w:rPr>
              <w:t>Smooth terms</w:t>
            </w:r>
          </w:p>
        </w:tc>
        <w:tc>
          <w:tcPr>
            <w:tcW w:w="0" w:type="auto"/>
            <w:tcBorders>
              <w:top w:val="single" w:sz="8" w:space="0" w:color="000000"/>
              <w:bottom w:val="single" w:sz="8" w:space="0" w:color="000000"/>
            </w:tcBorders>
          </w:tcPr>
          <w:p w14:paraId="24AFDA97" w14:textId="77777777" w:rsidR="00C42A65" w:rsidRPr="001A4F22" w:rsidRDefault="00C42A65" w:rsidP="001A4F22">
            <w:pPr>
              <w:pStyle w:val="NoSpacing"/>
              <w:jc w:val="left"/>
              <w:rPr>
                <w:b/>
                <w:bCs/>
              </w:rPr>
            </w:pPr>
            <w:proofErr w:type="spellStart"/>
            <w:r w:rsidRPr="001A4F22">
              <w:rPr>
                <w:b/>
                <w:bCs/>
              </w:rPr>
              <w:t>Edf</w:t>
            </w:r>
            <w:proofErr w:type="spellEnd"/>
          </w:p>
        </w:tc>
        <w:tc>
          <w:tcPr>
            <w:tcW w:w="0" w:type="auto"/>
            <w:tcBorders>
              <w:top w:val="single" w:sz="8" w:space="0" w:color="000000"/>
              <w:bottom w:val="single" w:sz="8" w:space="0" w:color="000000"/>
            </w:tcBorders>
          </w:tcPr>
          <w:p w14:paraId="09619638" w14:textId="77777777" w:rsidR="00C42A65" w:rsidRPr="001A4F22" w:rsidRDefault="00C42A65" w:rsidP="001A4F22">
            <w:pPr>
              <w:pStyle w:val="NoSpacing"/>
              <w:jc w:val="left"/>
              <w:rPr>
                <w:b/>
                <w:bCs/>
              </w:rPr>
            </w:pPr>
            <w:proofErr w:type="spellStart"/>
            <w:r w:rsidRPr="001A4F22">
              <w:rPr>
                <w:b/>
                <w:bCs/>
              </w:rPr>
              <w:t>Ref.df</w:t>
            </w:r>
            <w:proofErr w:type="spellEnd"/>
          </w:p>
        </w:tc>
        <w:tc>
          <w:tcPr>
            <w:tcW w:w="0" w:type="auto"/>
            <w:tcBorders>
              <w:top w:val="single" w:sz="8" w:space="0" w:color="000000"/>
              <w:bottom w:val="single" w:sz="8" w:space="0" w:color="000000"/>
            </w:tcBorders>
          </w:tcPr>
          <w:p w14:paraId="7FCCA121" w14:textId="77777777" w:rsidR="00C42A65" w:rsidRPr="001A4F22" w:rsidRDefault="00C42A65" w:rsidP="001A4F22">
            <w:pPr>
              <w:pStyle w:val="NoSpacing"/>
              <w:jc w:val="left"/>
              <w:rPr>
                <w:b/>
                <w:bCs/>
              </w:rPr>
            </w:pPr>
            <w:proofErr w:type="spellStart"/>
            <w:r w:rsidRPr="001A4F22">
              <w:rPr>
                <w:b/>
                <w:bCs/>
              </w:rPr>
              <w:t>Chi.sq</w:t>
            </w:r>
            <w:proofErr w:type="spellEnd"/>
          </w:p>
        </w:tc>
        <w:tc>
          <w:tcPr>
            <w:tcW w:w="0" w:type="auto"/>
            <w:tcBorders>
              <w:top w:val="single" w:sz="8" w:space="0" w:color="000000"/>
              <w:bottom w:val="single" w:sz="8" w:space="0" w:color="000000"/>
            </w:tcBorders>
          </w:tcPr>
          <w:p w14:paraId="684E776E" w14:textId="77777777" w:rsidR="00C42A65" w:rsidRPr="001A4F22" w:rsidRDefault="00C42A65" w:rsidP="001A4F22">
            <w:pPr>
              <w:pStyle w:val="NoSpacing"/>
              <w:jc w:val="left"/>
              <w:rPr>
                <w:b/>
                <w:bCs/>
              </w:rPr>
            </w:pPr>
            <w:r w:rsidRPr="001A4F22">
              <w:rPr>
                <w:b/>
                <w:bCs/>
              </w:rPr>
              <w:t>P-value</w:t>
            </w:r>
          </w:p>
        </w:tc>
      </w:tr>
      <w:tr w:rsidR="00C42A65" w:rsidRPr="00A02FF4" w14:paraId="3B933337" w14:textId="77777777" w:rsidTr="00B064E1">
        <w:trPr>
          <w:jc w:val="center"/>
        </w:trPr>
        <w:tc>
          <w:tcPr>
            <w:tcW w:w="0" w:type="auto"/>
            <w:tcBorders>
              <w:top w:val="single" w:sz="8" w:space="0" w:color="000000"/>
            </w:tcBorders>
          </w:tcPr>
          <w:p w14:paraId="70546730" w14:textId="77777777" w:rsidR="00C42A65" w:rsidRPr="00A02FF4" w:rsidRDefault="00C42A65" w:rsidP="001A4F22">
            <w:pPr>
              <w:pStyle w:val="NoSpacing"/>
              <w:jc w:val="left"/>
            </w:pPr>
            <w:r w:rsidRPr="00A02FF4">
              <w:t>Julian day</w:t>
            </w:r>
          </w:p>
        </w:tc>
        <w:tc>
          <w:tcPr>
            <w:tcW w:w="0" w:type="auto"/>
            <w:tcBorders>
              <w:top w:val="single" w:sz="8" w:space="0" w:color="000000"/>
            </w:tcBorders>
          </w:tcPr>
          <w:p w14:paraId="71078FC0" w14:textId="42A20CC2" w:rsidR="00C42A65" w:rsidRPr="00A02FF4" w:rsidRDefault="00842416" w:rsidP="001A4F22">
            <w:pPr>
              <w:pStyle w:val="NoSpacing"/>
              <w:jc w:val="left"/>
            </w:pPr>
            <w:r w:rsidRPr="00842416">
              <w:t>7.841</w:t>
            </w:r>
          </w:p>
        </w:tc>
        <w:tc>
          <w:tcPr>
            <w:tcW w:w="0" w:type="auto"/>
            <w:tcBorders>
              <w:top w:val="single" w:sz="8" w:space="0" w:color="000000"/>
            </w:tcBorders>
          </w:tcPr>
          <w:p w14:paraId="4A22A792" w14:textId="77777777" w:rsidR="00C42A65" w:rsidRPr="00A02FF4" w:rsidRDefault="00C42A65" w:rsidP="001A4F22">
            <w:pPr>
              <w:pStyle w:val="NoSpacing"/>
              <w:jc w:val="left"/>
            </w:pPr>
            <w:r w:rsidRPr="00A02FF4">
              <w:t xml:space="preserve">8.000  </w:t>
            </w:r>
          </w:p>
        </w:tc>
        <w:tc>
          <w:tcPr>
            <w:tcW w:w="0" w:type="auto"/>
            <w:tcBorders>
              <w:top w:val="single" w:sz="8" w:space="0" w:color="000000"/>
            </w:tcBorders>
          </w:tcPr>
          <w:p w14:paraId="2E835864" w14:textId="32669B61" w:rsidR="00C42A65" w:rsidRPr="00A02FF4" w:rsidRDefault="002577F7" w:rsidP="001A4F22">
            <w:pPr>
              <w:pStyle w:val="NoSpacing"/>
              <w:jc w:val="left"/>
            </w:pPr>
            <w:r>
              <w:t>1882.26</w:t>
            </w:r>
          </w:p>
        </w:tc>
        <w:tc>
          <w:tcPr>
            <w:tcW w:w="0" w:type="auto"/>
            <w:tcBorders>
              <w:top w:val="single" w:sz="8" w:space="0" w:color="000000"/>
            </w:tcBorders>
          </w:tcPr>
          <w:p w14:paraId="7FE2D1AF" w14:textId="77777777" w:rsidR="00C42A65" w:rsidRPr="00A02FF4" w:rsidRDefault="00C42A65" w:rsidP="001A4F22">
            <w:pPr>
              <w:pStyle w:val="NoSpacing"/>
              <w:jc w:val="left"/>
            </w:pPr>
            <w:r w:rsidRPr="00A02FF4">
              <w:t>&lt;2e-16</w:t>
            </w:r>
          </w:p>
        </w:tc>
      </w:tr>
      <w:tr w:rsidR="00C42A65" w:rsidRPr="00A02FF4" w14:paraId="5DF15E39" w14:textId="77777777" w:rsidTr="00B064E1">
        <w:trPr>
          <w:jc w:val="center"/>
        </w:trPr>
        <w:tc>
          <w:tcPr>
            <w:tcW w:w="0" w:type="auto"/>
          </w:tcPr>
          <w:p w14:paraId="19209C93" w14:textId="77777777" w:rsidR="00C42A65" w:rsidRPr="00A02FF4" w:rsidRDefault="00C42A65" w:rsidP="001A4F22">
            <w:pPr>
              <w:pStyle w:val="NoSpacing"/>
              <w:jc w:val="left"/>
            </w:pPr>
            <w:r w:rsidRPr="00A02FF4">
              <w:t>Hour</w:t>
            </w:r>
          </w:p>
        </w:tc>
        <w:tc>
          <w:tcPr>
            <w:tcW w:w="0" w:type="auto"/>
          </w:tcPr>
          <w:p w14:paraId="132373D8" w14:textId="27504456" w:rsidR="00C42A65" w:rsidRPr="00A02FF4" w:rsidRDefault="00443924" w:rsidP="001A4F22">
            <w:pPr>
              <w:pStyle w:val="NoSpacing"/>
              <w:jc w:val="left"/>
            </w:pPr>
            <w:r w:rsidRPr="00443924">
              <w:t>6.399</w:t>
            </w:r>
          </w:p>
        </w:tc>
        <w:tc>
          <w:tcPr>
            <w:tcW w:w="0" w:type="auto"/>
          </w:tcPr>
          <w:p w14:paraId="521FE109" w14:textId="77777777" w:rsidR="00C42A65" w:rsidRPr="00A02FF4" w:rsidRDefault="00C42A65" w:rsidP="001A4F22">
            <w:pPr>
              <w:pStyle w:val="NoSpacing"/>
              <w:jc w:val="left"/>
            </w:pPr>
            <w:r w:rsidRPr="00A02FF4">
              <w:t>8.000</w:t>
            </w:r>
          </w:p>
        </w:tc>
        <w:tc>
          <w:tcPr>
            <w:tcW w:w="0" w:type="auto"/>
          </w:tcPr>
          <w:p w14:paraId="2C08FF9F" w14:textId="776737AC" w:rsidR="00C42A65" w:rsidRPr="00A02FF4" w:rsidRDefault="002577F7" w:rsidP="001A4F22">
            <w:pPr>
              <w:pStyle w:val="NoSpacing"/>
              <w:jc w:val="left"/>
            </w:pPr>
            <w:r>
              <w:t>970.94</w:t>
            </w:r>
          </w:p>
        </w:tc>
        <w:tc>
          <w:tcPr>
            <w:tcW w:w="0" w:type="auto"/>
          </w:tcPr>
          <w:p w14:paraId="70433912" w14:textId="77777777" w:rsidR="00C42A65" w:rsidRPr="00A02FF4" w:rsidRDefault="00C42A65" w:rsidP="001A4F22">
            <w:pPr>
              <w:pStyle w:val="NoSpacing"/>
              <w:jc w:val="left"/>
            </w:pPr>
            <w:r w:rsidRPr="00A02FF4">
              <w:t>&lt;2e-16</w:t>
            </w:r>
          </w:p>
        </w:tc>
      </w:tr>
      <w:tr w:rsidR="00C42A65" w:rsidRPr="00A02FF4" w14:paraId="3B1B362F" w14:textId="77777777" w:rsidTr="00B064E1">
        <w:trPr>
          <w:jc w:val="center"/>
        </w:trPr>
        <w:tc>
          <w:tcPr>
            <w:tcW w:w="0" w:type="auto"/>
          </w:tcPr>
          <w:p w14:paraId="0FB8A61F" w14:textId="77777777" w:rsidR="00C42A65" w:rsidRPr="00A02FF4" w:rsidRDefault="00C42A65" w:rsidP="001A4F22">
            <w:pPr>
              <w:pStyle w:val="NoSpacing"/>
              <w:jc w:val="left"/>
            </w:pPr>
            <w:r w:rsidRPr="00A02FF4">
              <w:t>Standardized sonar area</w:t>
            </w:r>
          </w:p>
        </w:tc>
        <w:tc>
          <w:tcPr>
            <w:tcW w:w="0" w:type="auto"/>
          </w:tcPr>
          <w:p w14:paraId="39C9BEF1" w14:textId="6E8D5DCD" w:rsidR="00C42A65" w:rsidRPr="00A02FF4" w:rsidRDefault="00443924" w:rsidP="001A4F22">
            <w:pPr>
              <w:pStyle w:val="NoSpacing"/>
              <w:jc w:val="left"/>
            </w:pPr>
            <w:r w:rsidRPr="00443924">
              <w:t>1.596</w:t>
            </w:r>
          </w:p>
        </w:tc>
        <w:tc>
          <w:tcPr>
            <w:tcW w:w="0" w:type="auto"/>
          </w:tcPr>
          <w:p w14:paraId="0BAEE890" w14:textId="0140B84F" w:rsidR="00C42A65" w:rsidRPr="00A02FF4" w:rsidRDefault="002577F7" w:rsidP="001A4F22">
            <w:pPr>
              <w:pStyle w:val="NoSpacing"/>
              <w:jc w:val="left"/>
            </w:pPr>
            <w:r>
              <w:t>1.975</w:t>
            </w:r>
          </w:p>
        </w:tc>
        <w:tc>
          <w:tcPr>
            <w:tcW w:w="0" w:type="auto"/>
          </w:tcPr>
          <w:p w14:paraId="501C9AF4" w14:textId="2DB6B924" w:rsidR="00C42A65" w:rsidRPr="00A02FF4" w:rsidRDefault="002577F7" w:rsidP="001A4F22">
            <w:pPr>
              <w:pStyle w:val="NoSpacing"/>
              <w:jc w:val="left"/>
            </w:pPr>
            <w:r>
              <w:t>76.54</w:t>
            </w:r>
          </w:p>
        </w:tc>
        <w:tc>
          <w:tcPr>
            <w:tcW w:w="0" w:type="auto"/>
          </w:tcPr>
          <w:p w14:paraId="747156C8" w14:textId="77777777" w:rsidR="00C42A65" w:rsidRPr="00A02FF4" w:rsidRDefault="00C42A65" w:rsidP="001A4F22">
            <w:pPr>
              <w:pStyle w:val="NoSpacing"/>
              <w:jc w:val="left"/>
            </w:pPr>
            <w:r w:rsidRPr="00A02FF4">
              <w:t>&lt;2e-16</w:t>
            </w:r>
          </w:p>
        </w:tc>
      </w:tr>
      <w:tr w:rsidR="00C42A65" w:rsidRPr="00A02FF4" w14:paraId="1B6BE828" w14:textId="77777777" w:rsidTr="00B064E1">
        <w:trPr>
          <w:jc w:val="center"/>
        </w:trPr>
        <w:tc>
          <w:tcPr>
            <w:tcW w:w="0" w:type="auto"/>
          </w:tcPr>
          <w:p w14:paraId="1DFA88E9" w14:textId="77777777" w:rsidR="00C42A65" w:rsidRPr="00A02FF4" w:rsidRDefault="00C42A65" w:rsidP="001A4F22">
            <w:pPr>
              <w:pStyle w:val="NoSpacing"/>
              <w:jc w:val="left"/>
            </w:pPr>
            <w:r w:rsidRPr="00A02FF4">
              <w:t>Time since last sonar</w:t>
            </w:r>
          </w:p>
        </w:tc>
        <w:tc>
          <w:tcPr>
            <w:tcW w:w="0" w:type="auto"/>
          </w:tcPr>
          <w:p w14:paraId="2F631256" w14:textId="6ABB8B6F" w:rsidR="00C42A65" w:rsidRPr="00A02FF4" w:rsidRDefault="002577F7" w:rsidP="001A4F22">
            <w:pPr>
              <w:pStyle w:val="NoSpacing"/>
              <w:jc w:val="left"/>
            </w:pPr>
            <w:r w:rsidRPr="002577F7">
              <w:t>6.282</w:t>
            </w:r>
          </w:p>
        </w:tc>
        <w:tc>
          <w:tcPr>
            <w:tcW w:w="0" w:type="auto"/>
          </w:tcPr>
          <w:p w14:paraId="06C32FDB" w14:textId="24CFFA6B" w:rsidR="00C42A65" w:rsidRPr="00A02FF4" w:rsidRDefault="002577F7" w:rsidP="001A4F22">
            <w:pPr>
              <w:pStyle w:val="NoSpacing"/>
              <w:jc w:val="left"/>
            </w:pPr>
            <w:r>
              <w:t>7.363</w:t>
            </w:r>
          </w:p>
        </w:tc>
        <w:tc>
          <w:tcPr>
            <w:tcW w:w="0" w:type="auto"/>
          </w:tcPr>
          <w:p w14:paraId="090FAA65" w14:textId="2EC9D6AF" w:rsidR="00C42A65" w:rsidRPr="00A02FF4" w:rsidRDefault="002577F7" w:rsidP="001A4F22">
            <w:pPr>
              <w:pStyle w:val="NoSpacing"/>
              <w:jc w:val="left"/>
            </w:pPr>
            <w:r>
              <w:t>118.69</w:t>
            </w:r>
          </w:p>
        </w:tc>
        <w:tc>
          <w:tcPr>
            <w:tcW w:w="0" w:type="auto"/>
          </w:tcPr>
          <w:p w14:paraId="3908A342" w14:textId="77777777" w:rsidR="00C42A65" w:rsidRPr="00A02FF4" w:rsidRDefault="00C42A65" w:rsidP="001A4F22">
            <w:pPr>
              <w:pStyle w:val="NoSpacing"/>
              <w:jc w:val="left"/>
            </w:pPr>
            <w:r w:rsidRPr="00A02FF4">
              <w:t>&lt;2e-16</w:t>
            </w:r>
          </w:p>
        </w:tc>
      </w:tr>
      <w:tr w:rsidR="00C42A65" w:rsidRPr="00A02FF4" w14:paraId="0F9C5EDA" w14:textId="77777777" w:rsidTr="00B064E1">
        <w:trPr>
          <w:jc w:val="center"/>
        </w:trPr>
        <w:tc>
          <w:tcPr>
            <w:tcW w:w="0" w:type="auto"/>
          </w:tcPr>
          <w:p w14:paraId="15B5FD75" w14:textId="77777777" w:rsidR="00C42A65" w:rsidRPr="00A02FF4" w:rsidRDefault="00C42A65" w:rsidP="001A4F22">
            <w:pPr>
              <w:pStyle w:val="NoSpacing"/>
              <w:jc w:val="left"/>
            </w:pPr>
            <w:r w:rsidRPr="00A02FF4">
              <w:t>Length of sonar event</w:t>
            </w:r>
          </w:p>
        </w:tc>
        <w:tc>
          <w:tcPr>
            <w:tcW w:w="0" w:type="auto"/>
          </w:tcPr>
          <w:p w14:paraId="01C92A74" w14:textId="0F91AA33" w:rsidR="00C42A65" w:rsidRPr="00A02FF4" w:rsidRDefault="00C42A65" w:rsidP="001A4F22">
            <w:pPr>
              <w:pStyle w:val="NoSpacing"/>
              <w:jc w:val="left"/>
            </w:pPr>
            <w:r w:rsidRPr="00A02FF4">
              <w:t>1.</w:t>
            </w:r>
            <w:r w:rsidR="002577F7">
              <w:t>005</w:t>
            </w:r>
            <w:r w:rsidRPr="00A02FF4">
              <w:t xml:space="preserve"> </w:t>
            </w:r>
          </w:p>
        </w:tc>
        <w:tc>
          <w:tcPr>
            <w:tcW w:w="0" w:type="auto"/>
          </w:tcPr>
          <w:p w14:paraId="1D6E596B" w14:textId="089F20D2" w:rsidR="00C42A65" w:rsidRPr="00A02FF4" w:rsidRDefault="002577F7" w:rsidP="001A4F22">
            <w:pPr>
              <w:pStyle w:val="NoSpacing"/>
              <w:jc w:val="left"/>
            </w:pPr>
            <w:r>
              <w:t>1.010</w:t>
            </w:r>
          </w:p>
        </w:tc>
        <w:tc>
          <w:tcPr>
            <w:tcW w:w="0" w:type="auto"/>
          </w:tcPr>
          <w:p w14:paraId="2D6916F8" w14:textId="3DA5A5DC" w:rsidR="00C42A65" w:rsidRPr="00A02FF4" w:rsidRDefault="002577F7" w:rsidP="001A4F22">
            <w:pPr>
              <w:pStyle w:val="NoSpacing"/>
              <w:jc w:val="left"/>
            </w:pPr>
            <w:r>
              <w:t>10.61</w:t>
            </w:r>
          </w:p>
        </w:tc>
        <w:tc>
          <w:tcPr>
            <w:tcW w:w="0" w:type="auto"/>
          </w:tcPr>
          <w:p w14:paraId="33A3024F" w14:textId="7E4E2DBF" w:rsidR="00C42A65" w:rsidRPr="00A02FF4" w:rsidRDefault="002577F7" w:rsidP="001A4F22">
            <w:pPr>
              <w:pStyle w:val="NoSpacing"/>
              <w:jc w:val="left"/>
            </w:pPr>
            <w:r>
              <w:t>0.00111</w:t>
            </w:r>
          </w:p>
        </w:tc>
      </w:tr>
    </w:tbl>
    <w:p w14:paraId="631C5F46" w14:textId="26AB758C" w:rsidR="00C42A65" w:rsidRDefault="00C42A65" w:rsidP="0082745D"/>
    <w:p w14:paraId="3BE9210A" w14:textId="67629145" w:rsidR="004A2FCD" w:rsidRPr="004A2FCD" w:rsidRDefault="004A2FCD" w:rsidP="004A2FCD">
      <w:pPr>
        <w:pStyle w:val="NoSpacing"/>
        <w:jc w:val="left"/>
      </w:pPr>
      <w:r w:rsidRPr="004A2FCD">
        <w:rPr>
          <w:b/>
          <w:bCs/>
        </w:rPr>
        <w:t>Figure S</w:t>
      </w:r>
      <w:r w:rsidRPr="004A2FCD">
        <w:rPr>
          <w:b/>
          <w:bCs/>
        </w:rPr>
        <w:fldChar w:fldCharType="begin"/>
      </w:r>
      <w:r w:rsidRPr="004A2FCD">
        <w:rPr>
          <w:b/>
          <w:bCs/>
        </w:rPr>
        <w:instrText xml:space="preserve"> SEQ Figure_S \* ARABIC </w:instrText>
      </w:r>
      <w:r w:rsidRPr="004A2FCD">
        <w:rPr>
          <w:b/>
          <w:bCs/>
        </w:rPr>
        <w:fldChar w:fldCharType="separate"/>
      </w:r>
      <w:r w:rsidR="00F07D93">
        <w:rPr>
          <w:b/>
          <w:bCs/>
          <w:noProof/>
        </w:rPr>
        <w:t>4</w:t>
      </w:r>
      <w:r w:rsidRPr="004A2FCD">
        <w:rPr>
          <w:b/>
          <w:bCs/>
        </w:rPr>
        <w:fldChar w:fldCharType="end"/>
      </w:r>
      <w:r>
        <w:t>: Smooth terms of the GAM on the hydrophone data from SCORE</w:t>
      </w:r>
    </w:p>
    <w:p w14:paraId="1AC93269" w14:textId="0E2E2AEB" w:rsidR="004A2FCD" w:rsidRDefault="004A2FCD" w:rsidP="004A2FCD">
      <w:pPr>
        <w:pStyle w:val="NoSpacing"/>
      </w:pPr>
      <w:r w:rsidRPr="004A2FCD">
        <w:rPr>
          <w:noProof/>
        </w:rPr>
        <w:drawing>
          <wp:inline distT="0" distB="0" distL="0" distR="0" wp14:anchorId="1C313099" wp14:editId="4C48FE39">
            <wp:extent cx="5943600" cy="39624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8DB3893" w14:textId="6F91B0D6" w:rsidR="00E07EA0" w:rsidRPr="00926692" w:rsidRDefault="00E33C2D" w:rsidP="00926692">
      <w:pPr>
        <w:pStyle w:val="NoSpacing"/>
        <w:jc w:val="left"/>
      </w:pPr>
      <w:r>
        <w:br w:type="column"/>
      </w:r>
      <w:r w:rsidR="00E07EA0" w:rsidRPr="00926692">
        <w:rPr>
          <w:b/>
          <w:bCs/>
        </w:rPr>
        <w:lastRenderedPageBreak/>
        <w:t>Figure S</w:t>
      </w:r>
      <w:r w:rsidR="00E07EA0" w:rsidRPr="00926692">
        <w:rPr>
          <w:b/>
          <w:bCs/>
        </w:rPr>
        <w:fldChar w:fldCharType="begin"/>
      </w:r>
      <w:r w:rsidR="00E07EA0" w:rsidRPr="00926692">
        <w:rPr>
          <w:b/>
          <w:bCs/>
        </w:rPr>
        <w:instrText xml:space="preserve"> SEQ Figure_S \* ARABIC </w:instrText>
      </w:r>
      <w:r w:rsidR="00E07EA0" w:rsidRPr="00926692">
        <w:rPr>
          <w:b/>
          <w:bCs/>
        </w:rPr>
        <w:fldChar w:fldCharType="separate"/>
      </w:r>
      <w:r w:rsidR="00F07D93">
        <w:rPr>
          <w:b/>
          <w:bCs/>
          <w:noProof/>
        </w:rPr>
        <w:t>5</w:t>
      </w:r>
      <w:r w:rsidR="00E07EA0" w:rsidRPr="00926692">
        <w:rPr>
          <w:b/>
          <w:bCs/>
        </w:rPr>
        <w:fldChar w:fldCharType="end"/>
      </w:r>
      <w:r w:rsidR="00E07EA0" w:rsidRPr="00926692">
        <w:t xml:space="preserve">: </w:t>
      </w:r>
      <w:r w:rsidR="007D44EF" w:rsidRPr="00926692">
        <w:t>Distribution of the time since last MFAS use at AUTEC and SCORE ranges</w:t>
      </w:r>
      <w:r w:rsidR="00396A35" w:rsidRPr="00926692">
        <w:t>, showing both western and eastern range areas.</w:t>
      </w:r>
    </w:p>
    <w:p w14:paraId="7A32C48A" w14:textId="589D622F" w:rsidR="00AD1B46" w:rsidRDefault="00AD1B46" w:rsidP="00E42F52">
      <w:pPr>
        <w:pStyle w:val="NoSpacing"/>
      </w:pPr>
      <w:r>
        <w:rPr>
          <w:noProof/>
        </w:rPr>
        <w:drawing>
          <wp:inline distT="0" distB="0" distL="0" distR="0" wp14:anchorId="28CC8788" wp14:editId="497839CF">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10C8834" w14:textId="244E8607" w:rsidR="00AD1B46" w:rsidRDefault="00AD1B46" w:rsidP="0082745D"/>
    <w:p w14:paraId="73788D7C" w14:textId="72D8D12B" w:rsidR="00AD1B46" w:rsidRDefault="00AD1B46" w:rsidP="0082745D"/>
    <w:p w14:paraId="2ED74527" w14:textId="42713708" w:rsidR="00347DBA" w:rsidRPr="00347DBA" w:rsidRDefault="00AD1B46" w:rsidP="00926692">
      <w:pPr>
        <w:pStyle w:val="NoSpacing"/>
        <w:jc w:val="left"/>
        <w:rPr>
          <w:b/>
          <w:bCs/>
        </w:rPr>
      </w:pPr>
      <w:r>
        <w:br w:type="column"/>
      </w:r>
      <w:r w:rsidR="00347DBA" w:rsidRPr="00347DBA">
        <w:rPr>
          <w:b/>
          <w:bCs/>
        </w:rPr>
        <w:lastRenderedPageBreak/>
        <w:t>Figure S</w:t>
      </w:r>
      <w:r w:rsidR="00347DBA" w:rsidRPr="00347DBA">
        <w:rPr>
          <w:b/>
          <w:bCs/>
        </w:rPr>
        <w:fldChar w:fldCharType="begin"/>
      </w:r>
      <w:r w:rsidR="00347DBA" w:rsidRPr="00347DBA">
        <w:rPr>
          <w:b/>
          <w:bCs/>
        </w:rPr>
        <w:instrText xml:space="preserve"> SEQ Figure_S \* ARABIC </w:instrText>
      </w:r>
      <w:r w:rsidR="00347DBA" w:rsidRPr="00347DBA">
        <w:rPr>
          <w:b/>
          <w:bCs/>
        </w:rPr>
        <w:fldChar w:fldCharType="separate"/>
      </w:r>
      <w:r w:rsidR="00F07D93">
        <w:rPr>
          <w:b/>
          <w:bCs/>
          <w:noProof/>
        </w:rPr>
        <w:t>6</w:t>
      </w:r>
      <w:r w:rsidR="00347DBA" w:rsidRPr="00347DBA">
        <w:rPr>
          <w:b/>
          <w:bCs/>
        </w:rPr>
        <w:fldChar w:fldCharType="end"/>
      </w:r>
      <w:r w:rsidR="00347DBA" w:rsidRPr="00347DBA">
        <w:t>:</w:t>
      </w:r>
      <w:r w:rsidR="00347DBA">
        <w:t xml:space="preserve"> MFAS use aggregated by day (daily sum of standardized sonar area) for both western and eastern areas of the AUTEC and SCORE ranges</w:t>
      </w:r>
    </w:p>
    <w:p w14:paraId="137278C3" w14:textId="124A0FE8" w:rsidR="002D155A" w:rsidRDefault="00AD1B46" w:rsidP="00E42F52">
      <w:pPr>
        <w:pStyle w:val="NoSpacing"/>
      </w:pPr>
      <w:r>
        <w:rPr>
          <w:noProof/>
        </w:rPr>
        <w:drawing>
          <wp:inline distT="0" distB="0" distL="0" distR="0" wp14:anchorId="38321F31" wp14:editId="1AACFA57">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7E3FE93" w14:textId="10AA181C" w:rsidR="007542C5" w:rsidRDefault="007542C5" w:rsidP="0082745D"/>
    <w:p w14:paraId="686BA151" w14:textId="4AE6C527" w:rsidR="007542C5" w:rsidRDefault="007542C5" w:rsidP="0082745D"/>
    <w:p w14:paraId="0B2F52E5" w14:textId="73FBAC1B" w:rsidR="0056192C" w:rsidRPr="0056192C" w:rsidRDefault="00E42F52" w:rsidP="003B21EC">
      <w:pPr>
        <w:pStyle w:val="NoSpacing"/>
        <w:jc w:val="left"/>
        <w:rPr>
          <w:rFonts w:ascii="Times New Roman" w:hAnsi="Times New Roman" w:cs="Times New Roman"/>
        </w:rPr>
      </w:pPr>
      <w:r>
        <w:br w:type="column"/>
      </w:r>
      <w:r w:rsidR="0056192C" w:rsidRPr="00D82A98">
        <w:rPr>
          <w:rFonts w:ascii="Times New Roman" w:hAnsi="Times New Roman" w:cs="Times New Roman"/>
          <w:b/>
          <w:bCs/>
        </w:rPr>
        <w:lastRenderedPageBreak/>
        <w:t xml:space="preserve">Table </w:t>
      </w:r>
      <w:r w:rsidR="003B21EC" w:rsidRPr="00D82A98">
        <w:rPr>
          <w:rFonts w:ascii="Times New Roman" w:hAnsi="Times New Roman" w:cs="Times New Roman"/>
          <w:b/>
          <w:bCs/>
        </w:rPr>
        <w:t>S</w:t>
      </w:r>
      <w:r w:rsidR="00CD211F">
        <w:rPr>
          <w:rFonts w:ascii="Times New Roman" w:hAnsi="Times New Roman" w:cs="Times New Roman"/>
          <w:b/>
          <w:bCs/>
        </w:rPr>
        <w:t>6</w:t>
      </w:r>
      <w:r w:rsidR="0056192C" w:rsidRPr="00D82A98">
        <w:rPr>
          <w:rFonts w:ascii="Times New Roman" w:hAnsi="Times New Roman" w:cs="Times New Roman"/>
          <w:b/>
          <w:bCs/>
        </w:rPr>
        <w:t>:</w:t>
      </w:r>
      <w:r w:rsidR="0056192C" w:rsidRPr="0056192C">
        <w:rPr>
          <w:rFonts w:ascii="Times New Roman" w:hAnsi="Times New Roman" w:cs="Times New Roman"/>
        </w:rPr>
        <w:t xml:space="preserve"> Mean (</w:t>
      </w:r>
      <w:proofErr w:type="spellStart"/>
      <w:r w:rsidR="0056192C" w:rsidRPr="0056192C">
        <w:rPr>
          <w:rFonts w:ascii="Times New Roman" w:hAnsi="Times New Roman" w:cs="Times New Roman"/>
        </w:rPr>
        <w:t>sd</w:t>
      </w:r>
      <w:proofErr w:type="spellEnd"/>
      <w:r w:rsidR="0056192C" w:rsidRPr="0056192C">
        <w:rPr>
          <w:rFonts w:ascii="Times New Roman" w:hAnsi="Times New Roman" w:cs="Times New Roman"/>
        </w:rPr>
        <w:t xml:space="preserve">) of several life history variables and body condition (BC) of modelled </w:t>
      </w:r>
      <w:r w:rsidR="0056192C" w:rsidRPr="0056192C">
        <w:rPr>
          <w:rFonts w:ascii="Times New Roman" w:hAnsi="Times New Roman" w:cs="Times New Roman"/>
          <w:i/>
          <w:iCs/>
        </w:rPr>
        <w:t>Md</w:t>
      </w:r>
      <w:r w:rsidR="0056192C" w:rsidRPr="0056192C">
        <w:rPr>
          <w:rFonts w:ascii="Times New Roman" w:hAnsi="Times New Roman" w:cs="Times New Roman"/>
        </w:rPr>
        <w:t xml:space="preserve"> and </w:t>
      </w:r>
      <w:r w:rsidR="0056192C" w:rsidRPr="0056192C">
        <w:rPr>
          <w:rFonts w:ascii="Times New Roman" w:hAnsi="Times New Roman" w:cs="Times New Roman"/>
          <w:i/>
          <w:iCs/>
        </w:rPr>
        <w:t>Zc</w:t>
      </w:r>
      <w:r w:rsidR="0056192C" w:rsidRPr="0056192C">
        <w:rPr>
          <w:rFonts w:ascii="Times New Roman" w:hAnsi="Times New Roman" w:cs="Times New Roman"/>
        </w:rPr>
        <w:t xml:space="preserve"> females. </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1"/>
        <w:gridCol w:w="1417"/>
        <w:gridCol w:w="1589"/>
        <w:gridCol w:w="1559"/>
        <w:gridCol w:w="1418"/>
        <w:gridCol w:w="703"/>
      </w:tblGrid>
      <w:tr w:rsidR="0056192C" w:rsidRPr="0056192C" w14:paraId="63BA856B" w14:textId="77777777" w:rsidTr="00C16EB1">
        <w:trPr>
          <w:trHeight w:val="580"/>
        </w:trPr>
        <w:tc>
          <w:tcPr>
            <w:tcW w:w="2381" w:type="dxa"/>
            <w:tcBorders>
              <w:top w:val="single" w:sz="4" w:space="0" w:color="000000"/>
              <w:bottom w:val="single" w:sz="4" w:space="0" w:color="000000"/>
            </w:tcBorders>
            <w:vAlign w:val="center"/>
          </w:tcPr>
          <w:p w14:paraId="318BC5FA" w14:textId="77777777" w:rsidR="0056192C" w:rsidRPr="0056192C" w:rsidRDefault="0056192C" w:rsidP="0056192C">
            <w:pPr>
              <w:spacing w:after="0" w:line="480" w:lineRule="auto"/>
              <w:ind w:firstLine="0"/>
              <w:rPr>
                <w:rFonts w:ascii="Times New Roman" w:eastAsia="Calibri" w:hAnsi="Times New Roman" w:cs="Times New Roman"/>
                <w:sz w:val="20"/>
                <w:szCs w:val="20"/>
              </w:rPr>
            </w:pPr>
          </w:p>
        </w:tc>
        <w:tc>
          <w:tcPr>
            <w:tcW w:w="3006" w:type="dxa"/>
            <w:gridSpan w:val="2"/>
            <w:tcBorders>
              <w:top w:val="single" w:sz="4" w:space="0" w:color="000000"/>
              <w:bottom w:val="single" w:sz="4" w:space="0" w:color="000000"/>
            </w:tcBorders>
            <w:vAlign w:val="center"/>
          </w:tcPr>
          <w:p w14:paraId="5A36D6CB" w14:textId="77777777" w:rsidR="0056192C" w:rsidRPr="0056192C" w:rsidRDefault="0056192C" w:rsidP="0056192C">
            <w:pPr>
              <w:spacing w:after="0" w:line="480" w:lineRule="auto"/>
              <w:ind w:firstLine="0"/>
              <w:rPr>
                <w:rFonts w:ascii="Times New Roman" w:eastAsia="Calibri" w:hAnsi="Times New Roman" w:cs="Times New Roman"/>
                <w:i/>
                <w:iCs/>
                <w:sz w:val="20"/>
                <w:szCs w:val="20"/>
              </w:rPr>
            </w:pPr>
            <w:r w:rsidRPr="0056192C">
              <w:rPr>
                <w:rFonts w:ascii="Times New Roman" w:eastAsia="Calibri" w:hAnsi="Times New Roman" w:cs="Times New Roman"/>
                <w:i/>
                <w:iCs/>
                <w:sz w:val="20"/>
                <w:szCs w:val="20"/>
              </w:rPr>
              <w:t>Mesoplodon densirostris</w:t>
            </w:r>
          </w:p>
        </w:tc>
        <w:tc>
          <w:tcPr>
            <w:tcW w:w="3680" w:type="dxa"/>
            <w:gridSpan w:val="3"/>
            <w:tcBorders>
              <w:top w:val="single" w:sz="4" w:space="0" w:color="000000"/>
              <w:bottom w:val="single" w:sz="4" w:space="0" w:color="000000"/>
            </w:tcBorders>
            <w:vAlign w:val="center"/>
          </w:tcPr>
          <w:p w14:paraId="04DB14D3" w14:textId="77777777" w:rsidR="0056192C" w:rsidRPr="0056192C" w:rsidRDefault="0056192C" w:rsidP="0056192C">
            <w:pPr>
              <w:spacing w:after="0" w:line="480" w:lineRule="auto"/>
              <w:ind w:firstLine="0"/>
              <w:rPr>
                <w:rFonts w:ascii="Times New Roman" w:eastAsia="Calibri" w:hAnsi="Times New Roman" w:cs="Times New Roman"/>
                <w:i/>
                <w:iCs/>
                <w:sz w:val="20"/>
                <w:szCs w:val="20"/>
              </w:rPr>
            </w:pPr>
            <w:r w:rsidRPr="0056192C">
              <w:rPr>
                <w:rFonts w:ascii="Times New Roman" w:eastAsia="Calibri" w:hAnsi="Times New Roman" w:cs="Times New Roman"/>
                <w:i/>
                <w:iCs/>
                <w:sz w:val="20"/>
                <w:szCs w:val="20"/>
              </w:rPr>
              <w:t>Ziphius cavirostris</w:t>
            </w:r>
          </w:p>
        </w:tc>
      </w:tr>
      <w:tr w:rsidR="0056192C" w:rsidRPr="0056192C" w14:paraId="056168CA" w14:textId="77777777" w:rsidTr="00C16EB1">
        <w:trPr>
          <w:trHeight w:val="580"/>
        </w:trPr>
        <w:tc>
          <w:tcPr>
            <w:tcW w:w="2381" w:type="dxa"/>
            <w:tcBorders>
              <w:top w:val="single" w:sz="4" w:space="0" w:color="000000"/>
              <w:bottom w:val="single" w:sz="4" w:space="0" w:color="000000"/>
            </w:tcBorders>
            <w:vAlign w:val="center"/>
          </w:tcPr>
          <w:p w14:paraId="059D3E81"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p>
        </w:tc>
        <w:tc>
          <w:tcPr>
            <w:tcW w:w="1417" w:type="dxa"/>
            <w:tcBorders>
              <w:top w:val="single" w:sz="4" w:space="0" w:color="000000"/>
              <w:bottom w:val="single" w:sz="4" w:space="0" w:color="000000"/>
            </w:tcBorders>
            <w:vAlign w:val="center"/>
          </w:tcPr>
          <w:p w14:paraId="7C738C2A" w14:textId="77777777" w:rsidR="0056192C" w:rsidRPr="0056192C" w:rsidRDefault="0056192C" w:rsidP="0056192C">
            <w:pPr>
              <w:spacing w:after="120" w:line="240" w:lineRule="auto"/>
              <w:ind w:firstLine="0"/>
              <w:rPr>
                <w:rFonts w:ascii="Times New Roman" w:eastAsia="Calibri" w:hAnsi="Times New Roman" w:cs="Times New Roman"/>
                <w:i/>
                <w:iCs/>
                <w:sz w:val="20"/>
                <w:szCs w:val="20"/>
              </w:rPr>
            </w:pPr>
            <w:r w:rsidRPr="0056192C">
              <w:rPr>
                <w:rFonts w:ascii="Times New Roman" w:eastAsia="Calibri" w:hAnsi="Times New Roman" w:cs="Times New Roman"/>
                <w:i/>
                <w:iCs/>
                <w:sz w:val="20"/>
                <w:szCs w:val="20"/>
              </w:rPr>
              <w:t>Undisturbed</w:t>
            </w:r>
          </w:p>
        </w:tc>
        <w:tc>
          <w:tcPr>
            <w:tcW w:w="1589" w:type="dxa"/>
            <w:tcBorders>
              <w:top w:val="single" w:sz="4" w:space="0" w:color="000000"/>
              <w:bottom w:val="single" w:sz="4" w:space="0" w:color="000000"/>
            </w:tcBorders>
            <w:vAlign w:val="center"/>
          </w:tcPr>
          <w:p w14:paraId="77D51506" w14:textId="77777777" w:rsidR="0056192C" w:rsidRPr="0056192C" w:rsidRDefault="0056192C" w:rsidP="0056192C">
            <w:pPr>
              <w:spacing w:after="120" w:line="240" w:lineRule="auto"/>
              <w:ind w:firstLine="0"/>
              <w:rPr>
                <w:rFonts w:ascii="Times New Roman" w:eastAsia="Calibri" w:hAnsi="Times New Roman" w:cs="Times New Roman"/>
                <w:i/>
                <w:iCs/>
                <w:sz w:val="20"/>
                <w:szCs w:val="20"/>
              </w:rPr>
            </w:pPr>
            <w:r w:rsidRPr="0056192C">
              <w:rPr>
                <w:rFonts w:ascii="Times New Roman" w:eastAsia="Calibri" w:hAnsi="Times New Roman" w:cs="Times New Roman"/>
                <w:i/>
                <w:iCs/>
                <w:sz w:val="20"/>
                <w:szCs w:val="20"/>
              </w:rPr>
              <w:t>Disturbed</w:t>
            </w:r>
            <w:r w:rsidRPr="0056192C">
              <w:rPr>
                <w:rFonts w:ascii="Times New Roman" w:eastAsia="Calibri" w:hAnsi="Times New Roman" w:cs="Times New Roman"/>
                <w:sz w:val="20"/>
                <w:szCs w:val="20"/>
                <w:vertAlign w:val="superscript"/>
              </w:rPr>
              <w:t>*</w:t>
            </w:r>
          </w:p>
        </w:tc>
        <w:tc>
          <w:tcPr>
            <w:tcW w:w="1559" w:type="dxa"/>
            <w:tcBorders>
              <w:top w:val="single" w:sz="4" w:space="0" w:color="000000"/>
              <w:bottom w:val="single" w:sz="4" w:space="0" w:color="000000"/>
            </w:tcBorders>
            <w:vAlign w:val="center"/>
          </w:tcPr>
          <w:p w14:paraId="44948B6E" w14:textId="77777777" w:rsidR="0056192C" w:rsidRPr="0056192C" w:rsidRDefault="0056192C" w:rsidP="0056192C">
            <w:pPr>
              <w:spacing w:after="120" w:line="240" w:lineRule="auto"/>
              <w:ind w:firstLine="0"/>
              <w:rPr>
                <w:rFonts w:ascii="Times New Roman" w:eastAsia="Calibri" w:hAnsi="Times New Roman" w:cs="Times New Roman"/>
                <w:i/>
                <w:iCs/>
                <w:sz w:val="20"/>
                <w:szCs w:val="20"/>
              </w:rPr>
            </w:pPr>
            <w:r w:rsidRPr="0056192C">
              <w:rPr>
                <w:rFonts w:ascii="Times New Roman" w:eastAsia="Calibri" w:hAnsi="Times New Roman" w:cs="Times New Roman"/>
                <w:i/>
                <w:iCs/>
                <w:sz w:val="20"/>
                <w:szCs w:val="20"/>
              </w:rPr>
              <w:t>Undisturbed</w:t>
            </w:r>
          </w:p>
        </w:tc>
        <w:tc>
          <w:tcPr>
            <w:tcW w:w="2121" w:type="dxa"/>
            <w:gridSpan w:val="2"/>
            <w:tcBorders>
              <w:top w:val="single" w:sz="4" w:space="0" w:color="000000"/>
              <w:bottom w:val="single" w:sz="4" w:space="0" w:color="000000"/>
            </w:tcBorders>
            <w:vAlign w:val="center"/>
          </w:tcPr>
          <w:p w14:paraId="11B5C55E" w14:textId="77777777" w:rsidR="0056192C" w:rsidRPr="0056192C" w:rsidRDefault="0056192C" w:rsidP="0056192C">
            <w:pPr>
              <w:spacing w:after="120" w:line="240" w:lineRule="auto"/>
              <w:ind w:firstLine="0"/>
              <w:rPr>
                <w:rFonts w:ascii="Times New Roman" w:eastAsia="Calibri" w:hAnsi="Times New Roman" w:cs="Times New Roman"/>
                <w:i/>
                <w:iCs/>
                <w:sz w:val="20"/>
                <w:szCs w:val="20"/>
              </w:rPr>
            </w:pPr>
            <w:r w:rsidRPr="0056192C">
              <w:rPr>
                <w:rFonts w:ascii="Times New Roman" w:eastAsia="Calibri" w:hAnsi="Times New Roman" w:cs="Times New Roman"/>
                <w:i/>
                <w:iCs/>
                <w:sz w:val="20"/>
                <w:szCs w:val="20"/>
              </w:rPr>
              <w:t>Disturbed</w:t>
            </w:r>
            <w:r w:rsidRPr="0056192C">
              <w:rPr>
                <w:rFonts w:ascii="Times New Roman" w:eastAsia="Calibri" w:hAnsi="Times New Roman" w:cs="Times New Roman"/>
                <w:sz w:val="20"/>
                <w:szCs w:val="20"/>
                <w:vertAlign w:val="superscript"/>
              </w:rPr>
              <w:t>*</w:t>
            </w:r>
          </w:p>
        </w:tc>
      </w:tr>
      <w:tr w:rsidR="0056192C" w:rsidRPr="0056192C" w14:paraId="3F68BF10" w14:textId="77777777" w:rsidTr="00C16EB1">
        <w:trPr>
          <w:trHeight w:val="580"/>
        </w:trPr>
        <w:tc>
          <w:tcPr>
            <w:tcW w:w="2381" w:type="dxa"/>
            <w:tcBorders>
              <w:top w:val="single" w:sz="4" w:space="0" w:color="000000"/>
            </w:tcBorders>
            <w:vAlign w:val="center"/>
          </w:tcPr>
          <w:p w14:paraId="04FDC55C"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Age at first receptive</w:t>
            </w:r>
          </w:p>
        </w:tc>
        <w:tc>
          <w:tcPr>
            <w:tcW w:w="1417" w:type="dxa"/>
            <w:tcBorders>
              <w:top w:val="single" w:sz="4" w:space="0" w:color="000000"/>
            </w:tcBorders>
            <w:vAlign w:val="center"/>
          </w:tcPr>
          <w:p w14:paraId="168901D6"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7.7 (0.37)</w:t>
            </w:r>
          </w:p>
        </w:tc>
        <w:tc>
          <w:tcPr>
            <w:tcW w:w="1589" w:type="dxa"/>
            <w:tcBorders>
              <w:top w:val="single" w:sz="4" w:space="0" w:color="000000"/>
            </w:tcBorders>
            <w:vAlign w:val="center"/>
          </w:tcPr>
          <w:p w14:paraId="2118370D"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7.6 (0.35)</w:t>
            </w:r>
          </w:p>
        </w:tc>
        <w:tc>
          <w:tcPr>
            <w:tcW w:w="1559" w:type="dxa"/>
            <w:tcBorders>
              <w:top w:val="single" w:sz="4" w:space="0" w:color="000000"/>
            </w:tcBorders>
            <w:vAlign w:val="center"/>
          </w:tcPr>
          <w:p w14:paraId="3904AC10"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5.8 (0.35)</w:t>
            </w:r>
          </w:p>
        </w:tc>
        <w:tc>
          <w:tcPr>
            <w:tcW w:w="2121" w:type="dxa"/>
            <w:gridSpan w:val="2"/>
            <w:tcBorders>
              <w:top w:val="single" w:sz="4" w:space="0" w:color="000000"/>
            </w:tcBorders>
            <w:vAlign w:val="center"/>
          </w:tcPr>
          <w:p w14:paraId="0349C073"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5.7 (0.36)</w:t>
            </w:r>
          </w:p>
        </w:tc>
      </w:tr>
      <w:tr w:rsidR="0056192C" w:rsidRPr="0056192C" w14:paraId="29329C78" w14:textId="77777777" w:rsidTr="00C16EB1">
        <w:trPr>
          <w:trHeight w:val="580"/>
        </w:trPr>
        <w:tc>
          <w:tcPr>
            <w:tcW w:w="2381" w:type="dxa"/>
            <w:vAlign w:val="center"/>
          </w:tcPr>
          <w:p w14:paraId="3076A700"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Age at first reproduction</w:t>
            </w:r>
          </w:p>
        </w:tc>
        <w:tc>
          <w:tcPr>
            <w:tcW w:w="1417" w:type="dxa"/>
            <w:vAlign w:val="center"/>
          </w:tcPr>
          <w:p w14:paraId="52F181D7"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10.3 (1.6)</w:t>
            </w:r>
          </w:p>
        </w:tc>
        <w:tc>
          <w:tcPr>
            <w:tcW w:w="1589" w:type="dxa"/>
            <w:vAlign w:val="center"/>
          </w:tcPr>
          <w:p w14:paraId="160F02F4"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10.2 (1.7)</w:t>
            </w:r>
          </w:p>
        </w:tc>
        <w:tc>
          <w:tcPr>
            <w:tcW w:w="1559" w:type="dxa"/>
            <w:vAlign w:val="center"/>
          </w:tcPr>
          <w:p w14:paraId="58F1090E"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8.4 (1.6)</w:t>
            </w:r>
          </w:p>
        </w:tc>
        <w:tc>
          <w:tcPr>
            <w:tcW w:w="2121" w:type="dxa"/>
            <w:gridSpan w:val="2"/>
            <w:vAlign w:val="center"/>
          </w:tcPr>
          <w:p w14:paraId="31F543B1"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8.2 (1.7)</w:t>
            </w:r>
          </w:p>
        </w:tc>
      </w:tr>
      <w:tr w:rsidR="0056192C" w:rsidRPr="0056192C" w14:paraId="136CF3C7" w14:textId="77777777" w:rsidTr="00C16EB1">
        <w:trPr>
          <w:trHeight w:val="580"/>
        </w:trPr>
        <w:tc>
          <w:tcPr>
            <w:tcW w:w="2381" w:type="dxa"/>
            <w:vAlign w:val="center"/>
          </w:tcPr>
          <w:p w14:paraId="15A95FCB"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Age at weaning first calf</w:t>
            </w:r>
          </w:p>
        </w:tc>
        <w:tc>
          <w:tcPr>
            <w:tcW w:w="1417" w:type="dxa"/>
            <w:vAlign w:val="center"/>
          </w:tcPr>
          <w:p w14:paraId="1DCCAB11"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16.3 (4.0)</w:t>
            </w:r>
          </w:p>
        </w:tc>
        <w:tc>
          <w:tcPr>
            <w:tcW w:w="1589" w:type="dxa"/>
            <w:vAlign w:val="center"/>
          </w:tcPr>
          <w:p w14:paraId="4FCB671E"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16.0 (3.9)</w:t>
            </w:r>
          </w:p>
        </w:tc>
        <w:tc>
          <w:tcPr>
            <w:tcW w:w="1559" w:type="dxa"/>
            <w:vAlign w:val="center"/>
          </w:tcPr>
          <w:p w14:paraId="493FCFBA"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11.5 (2.8)</w:t>
            </w:r>
          </w:p>
        </w:tc>
        <w:tc>
          <w:tcPr>
            <w:tcW w:w="2121" w:type="dxa"/>
            <w:gridSpan w:val="2"/>
            <w:vAlign w:val="center"/>
          </w:tcPr>
          <w:p w14:paraId="3010E6A4"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11.6 (2.9)</w:t>
            </w:r>
          </w:p>
        </w:tc>
      </w:tr>
      <w:tr w:rsidR="0056192C" w:rsidRPr="0056192C" w14:paraId="7610F5F0" w14:textId="77777777" w:rsidTr="00C16EB1">
        <w:trPr>
          <w:trHeight w:val="580"/>
        </w:trPr>
        <w:tc>
          <w:tcPr>
            <w:tcW w:w="2381" w:type="dxa"/>
            <w:vAlign w:val="center"/>
          </w:tcPr>
          <w:p w14:paraId="55D0D6BC"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Number of calves born</w:t>
            </w:r>
          </w:p>
        </w:tc>
        <w:tc>
          <w:tcPr>
            <w:tcW w:w="1417" w:type="dxa"/>
            <w:vAlign w:val="center"/>
          </w:tcPr>
          <w:p w14:paraId="47CAC20A"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2.0 (3.0)</w:t>
            </w:r>
          </w:p>
        </w:tc>
        <w:tc>
          <w:tcPr>
            <w:tcW w:w="1589" w:type="dxa"/>
            <w:vAlign w:val="center"/>
          </w:tcPr>
          <w:p w14:paraId="4882C802"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2.0 (3.0)</w:t>
            </w:r>
          </w:p>
        </w:tc>
        <w:tc>
          <w:tcPr>
            <w:tcW w:w="1559" w:type="dxa"/>
            <w:vAlign w:val="center"/>
          </w:tcPr>
          <w:p w14:paraId="5C3FCE6A"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2.0 (3.2)</w:t>
            </w:r>
          </w:p>
        </w:tc>
        <w:tc>
          <w:tcPr>
            <w:tcW w:w="2121" w:type="dxa"/>
            <w:gridSpan w:val="2"/>
            <w:vAlign w:val="center"/>
          </w:tcPr>
          <w:p w14:paraId="16DEA29C"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2.0 (3.2)</w:t>
            </w:r>
          </w:p>
        </w:tc>
      </w:tr>
      <w:tr w:rsidR="0056192C" w:rsidRPr="0056192C" w14:paraId="0466E8C3" w14:textId="77777777" w:rsidTr="00C16EB1">
        <w:trPr>
          <w:trHeight w:val="580"/>
        </w:trPr>
        <w:tc>
          <w:tcPr>
            <w:tcW w:w="2381" w:type="dxa"/>
            <w:vAlign w:val="center"/>
          </w:tcPr>
          <w:p w14:paraId="03B7EC08"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Number of calves weaned</w:t>
            </w:r>
          </w:p>
        </w:tc>
        <w:tc>
          <w:tcPr>
            <w:tcW w:w="1417" w:type="dxa"/>
            <w:vAlign w:val="center"/>
          </w:tcPr>
          <w:p w14:paraId="41E69B7D"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1.0 (1.8)</w:t>
            </w:r>
          </w:p>
        </w:tc>
        <w:tc>
          <w:tcPr>
            <w:tcW w:w="1589" w:type="dxa"/>
            <w:vAlign w:val="center"/>
          </w:tcPr>
          <w:p w14:paraId="46E7E72C"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1.0 (1.8)</w:t>
            </w:r>
          </w:p>
        </w:tc>
        <w:tc>
          <w:tcPr>
            <w:tcW w:w="1559" w:type="dxa"/>
            <w:vAlign w:val="center"/>
          </w:tcPr>
          <w:p w14:paraId="499C57E1"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1.3 (2.3)</w:t>
            </w:r>
          </w:p>
        </w:tc>
        <w:tc>
          <w:tcPr>
            <w:tcW w:w="2121" w:type="dxa"/>
            <w:gridSpan w:val="2"/>
            <w:vAlign w:val="center"/>
          </w:tcPr>
          <w:p w14:paraId="0DE424DD"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1.2 (2.3)</w:t>
            </w:r>
          </w:p>
        </w:tc>
      </w:tr>
      <w:tr w:rsidR="0056192C" w:rsidRPr="0056192C" w14:paraId="35673EAC" w14:textId="77777777" w:rsidTr="00C16EB1">
        <w:trPr>
          <w:gridAfter w:val="1"/>
          <w:wAfter w:w="703" w:type="dxa"/>
          <w:trHeight w:val="580"/>
        </w:trPr>
        <w:tc>
          <w:tcPr>
            <w:tcW w:w="2381" w:type="dxa"/>
            <w:vAlign w:val="center"/>
          </w:tcPr>
          <w:p w14:paraId="7AFC3656"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BC calves</w:t>
            </w:r>
          </w:p>
        </w:tc>
        <w:tc>
          <w:tcPr>
            <w:tcW w:w="1417" w:type="dxa"/>
            <w:vAlign w:val="center"/>
          </w:tcPr>
          <w:p w14:paraId="38BD759B"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0.282 (0.0305)</w:t>
            </w:r>
          </w:p>
        </w:tc>
        <w:tc>
          <w:tcPr>
            <w:tcW w:w="1589" w:type="dxa"/>
            <w:vAlign w:val="center"/>
          </w:tcPr>
          <w:p w14:paraId="57559898"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0.279 (0.0325)</w:t>
            </w:r>
          </w:p>
        </w:tc>
        <w:tc>
          <w:tcPr>
            <w:tcW w:w="1559" w:type="dxa"/>
            <w:vAlign w:val="center"/>
          </w:tcPr>
          <w:p w14:paraId="09CBDE88"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0.289 (0.0295)</w:t>
            </w:r>
          </w:p>
        </w:tc>
        <w:tc>
          <w:tcPr>
            <w:tcW w:w="1418" w:type="dxa"/>
            <w:vAlign w:val="center"/>
          </w:tcPr>
          <w:p w14:paraId="6D24BCAE"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0.287 (0.0300)</w:t>
            </w:r>
          </w:p>
        </w:tc>
      </w:tr>
      <w:tr w:rsidR="0056192C" w:rsidRPr="0056192C" w14:paraId="60E3FBE9" w14:textId="77777777" w:rsidTr="00C16EB1">
        <w:trPr>
          <w:gridAfter w:val="1"/>
          <w:wAfter w:w="703" w:type="dxa"/>
          <w:trHeight w:val="580"/>
        </w:trPr>
        <w:tc>
          <w:tcPr>
            <w:tcW w:w="2381" w:type="dxa"/>
            <w:vAlign w:val="center"/>
          </w:tcPr>
          <w:p w14:paraId="54DC0FD8"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BC resting females</w:t>
            </w:r>
          </w:p>
        </w:tc>
        <w:tc>
          <w:tcPr>
            <w:tcW w:w="1417" w:type="dxa"/>
            <w:vAlign w:val="center"/>
          </w:tcPr>
          <w:p w14:paraId="1958B6A0"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0.264 (0.0189)</w:t>
            </w:r>
          </w:p>
        </w:tc>
        <w:tc>
          <w:tcPr>
            <w:tcW w:w="1589" w:type="dxa"/>
            <w:vAlign w:val="center"/>
          </w:tcPr>
          <w:p w14:paraId="7B62D3D7"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0.262 (0.0210)</w:t>
            </w:r>
          </w:p>
        </w:tc>
        <w:tc>
          <w:tcPr>
            <w:tcW w:w="1559" w:type="dxa"/>
            <w:vAlign w:val="center"/>
          </w:tcPr>
          <w:p w14:paraId="1965D665"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0.273 (0.0319)</w:t>
            </w:r>
          </w:p>
        </w:tc>
        <w:tc>
          <w:tcPr>
            <w:tcW w:w="1418" w:type="dxa"/>
            <w:vAlign w:val="center"/>
          </w:tcPr>
          <w:p w14:paraId="72DE9AC2"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0.269 (0.0321)</w:t>
            </w:r>
          </w:p>
        </w:tc>
      </w:tr>
      <w:tr w:rsidR="0056192C" w:rsidRPr="0056192C" w14:paraId="4C9B90FB" w14:textId="77777777" w:rsidTr="00C16EB1">
        <w:trPr>
          <w:gridAfter w:val="1"/>
          <w:wAfter w:w="703" w:type="dxa"/>
          <w:trHeight w:val="580"/>
        </w:trPr>
        <w:tc>
          <w:tcPr>
            <w:tcW w:w="2381" w:type="dxa"/>
            <w:vAlign w:val="center"/>
          </w:tcPr>
          <w:p w14:paraId="2544082A"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BC waiting females</w:t>
            </w:r>
          </w:p>
        </w:tc>
        <w:tc>
          <w:tcPr>
            <w:tcW w:w="1417" w:type="dxa"/>
            <w:vAlign w:val="center"/>
          </w:tcPr>
          <w:p w14:paraId="3DFA0A06"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0.271 (0.0114)</w:t>
            </w:r>
          </w:p>
        </w:tc>
        <w:tc>
          <w:tcPr>
            <w:tcW w:w="1589" w:type="dxa"/>
            <w:vAlign w:val="center"/>
          </w:tcPr>
          <w:p w14:paraId="3C5F6F0F"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0.270 (0.0117)</w:t>
            </w:r>
          </w:p>
        </w:tc>
        <w:tc>
          <w:tcPr>
            <w:tcW w:w="1559" w:type="dxa"/>
            <w:vAlign w:val="center"/>
          </w:tcPr>
          <w:p w14:paraId="343454FD"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0.288 (0.0206)</w:t>
            </w:r>
          </w:p>
        </w:tc>
        <w:tc>
          <w:tcPr>
            <w:tcW w:w="1418" w:type="dxa"/>
            <w:vAlign w:val="center"/>
          </w:tcPr>
          <w:p w14:paraId="56AD2CC6"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0.286 (0.0208)</w:t>
            </w:r>
          </w:p>
        </w:tc>
      </w:tr>
      <w:tr w:rsidR="0056192C" w:rsidRPr="0056192C" w14:paraId="014023D8" w14:textId="77777777" w:rsidTr="00C16EB1">
        <w:trPr>
          <w:gridAfter w:val="1"/>
          <w:wAfter w:w="703" w:type="dxa"/>
          <w:trHeight w:val="580"/>
        </w:trPr>
        <w:tc>
          <w:tcPr>
            <w:tcW w:w="2381" w:type="dxa"/>
            <w:vAlign w:val="center"/>
          </w:tcPr>
          <w:p w14:paraId="0715B9FD"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BC pregnant females</w:t>
            </w:r>
          </w:p>
        </w:tc>
        <w:tc>
          <w:tcPr>
            <w:tcW w:w="1417" w:type="dxa"/>
            <w:vAlign w:val="center"/>
          </w:tcPr>
          <w:p w14:paraId="678CD95A"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0.264 (0.0152)</w:t>
            </w:r>
          </w:p>
        </w:tc>
        <w:tc>
          <w:tcPr>
            <w:tcW w:w="1589" w:type="dxa"/>
            <w:vAlign w:val="center"/>
          </w:tcPr>
          <w:p w14:paraId="217B459D"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0.262 (0.0158)</w:t>
            </w:r>
          </w:p>
        </w:tc>
        <w:tc>
          <w:tcPr>
            <w:tcW w:w="1559" w:type="dxa"/>
            <w:vAlign w:val="center"/>
          </w:tcPr>
          <w:p w14:paraId="112A4B70"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0.283 (0.0233)</w:t>
            </w:r>
          </w:p>
        </w:tc>
        <w:tc>
          <w:tcPr>
            <w:tcW w:w="1418" w:type="dxa"/>
            <w:vAlign w:val="center"/>
          </w:tcPr>
          <w:p w14:paraId="1E9CD265"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0.282 (0.0232)</w:t>
            </w:r>
          </w:p>
        </w:tc>
      </w:tr>
      <w:tr w:rsidR="0056192C" w:rsidRPr="0056192C" w14:paraId="28CAFB2D" w14:textId="77777777" w:rsidTr="00C16EB1">
        <w:trPr>
          <w:gridAfter w:val="1"/>
          <w:wAfter w:w="703" w:type="dxa"/>
          <w:trHeight w:val="580"/>
        </w:trPr>
        <w:tc>
          <w:tcPr>
            <w:tcW w:w="2381" w:type="dxa"/>
            <w:tcBorders>
              <w:bottom w:val="single" w:sz="4" w:space="0" w:color="auto"/>
            </w:tcBorders>
            <w:vAlign w:val="center"/>
          </w:tcPr>
          <w:p w14:paraId="14ABBCF5"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BC lactating females</w:t>
            </w:r>
          </w:p>
        </w:tc>
        <w:tc>
          <w:tcPr>
            <w:tcW w:w="1417" w:type="dxa"/>
            <w:tcBorders>
              <w:bottom w:val="single" w:sz="4" w:space="0" w:color="auto"/>
            </w:tcBorders>
            <w:vAlign w:val="center"/>
          </w:tcPr>
          <w:p w14:paraId="1B7CD248"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0.230 (0.0284)</w:t>
            </w:r>
          </w:p>
        </w:tc>
        <w:tc>
          <w:tcPr>
            <w:tcW w:w="1589" w:type="dxa"/>
            <w:tcBorders>
              <w:bottom w:val="single" w:sz="4" w:space="0" w:color="auto"/>
            </w:tcBorders>
            <w:vAlign w:val="center"/>
          </w:tcPr>
          <w:p w14:paraId="1E9BD9E1"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0.224 (0.0288)</w:t>
            </w:r>
          </w:p>
        </w:tc>
        <w:tc>
          <w:tcPr>
            <w:tcW w:w="1559" w:type="dxa"/>
            <w:tcBorders>
              <w:bottom w:val="single" w:sz="4" w:space="0" w:color="auto"/>
            </w:tcBorders>
            <w:vAlign w:val="center"/>
          </w:tcPr>
          <w:p w14:paraId="5C025408"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0.268 (0.0325)</w:t>
            </w:r>
          </w:p>
        </w:tc>
        <w:tc>
          <w:tcPr>
            <w:tcW w:w="1418" w:type="dxa"/>
            <w:tcBorders>
              <w:bottom w:val="single" w:sz="4" w:space="0" w:color="auto"/>
            </w:tcBorders>
            <w:vAlign w:val="center"/>
          </w:tcPr>
          <w:p w14:paraId="605E9D72"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r w:rsidRPr="0056192C">
              <w:rPr>
                <w:rFonts w:ascii="Times New Roman" w:eastAsia="Calibri" w:hAnsi="Times New Roman" w:cs="Times New Roman"/>
                <w:sz w:val="20"/>
                <w:szCs w:val="20"/>
              </w:rPr>
              <w:t>0.259 (0.0348)</w:t>
            </w:r>
          </w:p>
        </w:tc>
      </w:tr>
      <w:tr w:rsidR="0056192C" w:rsidRPr="0056192C" w14:paraId="00B296A6" w14:textId="77777777" w:rsidTr="00C16EB1">
        <w:tc>
          <w:tcPr>
            <w:tcW w:w="9067" w:type="dxa"/>
            <w:gridSpan w:val="6"/>
            <w:tcBorders>
              <w:top w:val="single" w:sz="4" w:space="0" w:color="auto"/>
            </w:tcBorders>
          </w:tcPr>
          <w:p w14:paraId="0E12C23F" w14:textId="77777777" w:rsidR="0056192C" w:rsidRPr="0056192C" w:rsidRDefault="0056192C" w:rsidP="0056192C">
            <w:pPr>
              <w:spacing w:before="0" w:after="0" w:line="240" w:lineRule="auto"/>
              <w:ind w:firstLine="0"/>
              <w:rPr>
                <w:rFonts w:ascii="Times New Roman" w:eastAsia="Calibri" w:hAnsi="Times New Roman" w:cs="Times New Roman"/>
                <w:sz w:val="20"/>
                <w:szCs w:val="20"/>
                <w:vertAlign w:val="superscript"/>
              </w:rPr>
            </w:pPr>
            <w:r w:rsidRPr="0056192C">
              <w:rPr>
                <w:rFonts w:ascii="Times New Roman" w:eastAsia="Calibri" w:hAnsi="Times New Roman" w:cs="Times New Roman"/>
                <w:sz w:val="20"/>
                <w:szCs w:val="20"/>
                <w:vertAlign w:val="superscript"/>
              </w:rPr>
              <w:t>*</w:t>
            </w:r>
            <w:r w:rsidRPr="0056192C">
              <w:rPr>
                <w:rFonts w:ascii="Times New Roman" w:eastAsia="Calibri" w:hAnsi="Times New Roman" w:cs="Times New Roman"/>
                <w:sz w:val="20"/>
                <w:szCs w:val="20"/>
              </w:rPr>
              <w:t>Disturbance leads to cessation of foraging and displacement</w:t>
            </w:r>
          </w:p>
        </w:tc>
      </w:tr>
    </w:tbl>
    <w:p w14:paraId="5E4A14C7" w14:textId="77777777" w:rsidR="0056192C" w:rsidRPr="0056192C" w:rsidRDefault="0056192C" w:rsidP="0056192C">
      <w:pPr>
        <w:spacing w:before="0" w:after="0" w:line="480" w:lineRule="auto"/>
        <w:ind w:firstLine="0"/>
        <w:rPr>
          <w:rFonts w:ascii="Times New Roman" w:eastAsia="Calibri" w:hAnsi="Times New Roman" w:cs="Times New Roman"/>
          <w:sz w:val="20"/>
          <w:szCs w:val="20"/>
        </w:rPr>
      </w:pPr>
    </w:p>
    <w:p w14:paraId="529904B2" w14:textId="5B0BF228" w:rsidR="004C29BA" w:rsidRPr="00EA5C4C" w:rsidRDefault="004C29BA" w:rsidP="00F462C4">
      <w:pPr>
        <w:pStyle w:val="Firstparagraph"/>
        <w:rPr>
          <w:b/>
          <w:bCs/>
        </w:rPr>
      </w:pPr>
    </w:p>
    <w:p w14:paraId="1403B5AE" w14:textId="51E49D99" w:rsidR="00D27EAA" w:rsidRDefault="00D27EAA" w:rsidP="0082745D">
      <w:pPr>
        <w:pStyle w:val="Firstparagraph"/>
      </w:pPr>
    </w:p>
    <w:p w14:paraId="4A7EE15B" w14:textId="009833AF" w:rsidR="00F537E0" w:rsidRDefault="00F537E0" w:rsidP="0082745D">
      <w:pPr>
        <w:pStyle w:val="Firstparagraph"/>
      </w:pPr>
    </w:p>
    <w:p w14:paraId="6A0368F5" w14:textId="429FAA9F" w:rsidR="00F537E0" w:rsidRPr="00F537E0" w:rsidRDefault="00F537E0" w:rsidP="0082745D">
      <w:pPr>
        <w:pStyle w:val="Heading1"/>
      </w:pPr>
      <w:r>
        <w:br w:type="column"/>
      </w:r>
      <w:r w:rsidR="001F4B89">
        <w:lastRenderedPageBreak/>
        <w:t>References</w:t>
      </w:r>
    </w:p>
    <w:p w14:paraId="01E22E8A" w14:textId="77777777" w:rsidR="008D48B8" w:rsidRPr="008D48B8" w:rsidRDefault="00503B58" w:rsidP="008D48B8">
      <w:pPr>
        <w:pStyle w:val="Bibliography"/>
      </w:pPr>
      <w:r>
        <w:fldChar w:fldCharType="begin"/>
      </w:r>
      <w:r w:rsidR="008D48B8">
        <w:instrText xml:space="preserve"> ADDIN ZOTERO_BIBL {"uncited":[],"omitted":[],"custom":[]} CSL_BIBLIOGRAPHY </w:instrText>
      </w:r>
      <w:r>
        <w:fldChar w:fldCharType="separate"/>
      </w:r>
      <w:r w:rsidR="008D48B8" w:rsidRPr="008D48B8">
        <w:t xml:space="preserve">Barlow, J., </w:t>
      </w:r>
      <w:proofErr w:type="spellStart"/>
      <w:r w:rsidR="008D48B8" w:rsidRPr="008D48B8">
        <w:t>Boveng</w:t>
      </w:r>
      <w:proofErr w:type="spellEnd"/>
      <w:r w:rsidR="008D48B8" w:rsidRPr="008D48B8">
        <w:t xml:space="preserve">, P., 1991. Modelling age-specific mortality for marine mammal populations. Mar </w:t>
      </w:r>
      <w:proofErr w:type="spellStart"/>
      <w:r w:rsidR="008D48B8" w:rsidRPr="008D48B8">
        <w:t>Mamm</w:t>
      </w:r>
      <w:proofErr w:type="spellEnd"/>
      <w:r w:rsidR="008D48B8" w:rsidRPr="008D48B8">
        <w:t xml:space="preserve"> Sci 7, 50–65. https://doi.org/10.1111/j.1748-7692.1991.tb00550.x</w:t>
      </w:r>
    </w:p>
    <w:p w14:paraId="5D201C8D" w14:textId="77777777" w:rsidR="008D48B8" w:rsidRPr="008D48B8" w:rsidRDefault="008D48B8" w:rsidP="008D48B8">
      <w:pPr>
        <w:pStyle w:val="Bibliography"/>
      </w:pPr>
      <w:r w:rsidRPr="008D48B8">
        <w:t xml:space="preserve">Benoit-Bird, K., </w:t>
      </w:r>
      <w:proofErr w:type="spellStart"/>
      <w:r w:rsidRPr="008D48B8">
        <w:t>Southall</w:t>
      </w:r>
      <w:proofErr w:type="spellEnd"/>
      <w:r w:rsidRPr="008D48B8">
        <w:t>, B., Moline, M., Claridge, D., Dunn, C., Dolan, K., Moretti, D., 2020. Critical threshold identified in the functional relationship between beaked whales and their prey. Mar. Ecol. Prog. Ser. https://doi.org/10.3354/meps13521</w:t>
      </w:r>
    </w:p>
    <w:p w14:paraId="33F444D0" w14:textId="77777777" w:rsidR="008D48B8" w:rsidRPr="008D48B8" w:rsidRDefault="008D48B8" w:rsidP="008D48B8">
      <w:pPr>
        <w:pStyle w:val="Bibliography"/>
      </w:pPr>
      <w:r w:rsidRPr="008D48B8">
        <w:t>Claridge, D.E., 2013. Population Ecology of Blainville’s Beaked Whales (Mesoplodon densirostris). University of St. Andrews, St. Andrews, United Kingdom.</w:t>
      </w:r>
    </w:p>
    <w:p w14:paraId="3D00A625" w14:textId="77777777" w:rsidR="008D48B8" w:rsidRPr="008D48B8" w:rsidRDefault="008D48B8" w:rsidP="008D48B8">
      <w:pPr>
        <w:pStyle w:val="Bibliography"/>
      </w:pPr>
      <w:r w:rsidRPr="008D48B8">
        <w:t xml:space="preserve">De </w:t>
      </w:r>
      <w:proofErr w:type="spellStart"/>
      <w:r w:rsidRPr="008D48B8">
        <w:t>Roos</w:t>
      </w:r>
      <w:proofErr w:type="spellEnd"/>
      <w:r w:rsidRPr="008D48B8">
        <w:t xml:space="preserve">, A.M., </w:t>
      </w:r>
      <w:proofErr w:type="spellStart"/>
      <w:r w:rsidRPr="008D48B8">
        <w:t>Galic</w:t>
      </w:r>
      <w:proofErr w:type="spellEnd"/>
      <w:r w:rsidRPr="008D48B8">
        <w:t xml:space="preserve">, N., </w:t>
      </w:r>
      <w:proofErr w:type="spellStart"/>
      <w:r w:rsidRPr="008D48B8">
        <w:t>Heesterbeek</w:t>
      </w:r>
      <w:proofErr w:type="spellEnd"/>
      <w:r w:rsidRPr="008D48B8">
        <w:t xml:space="preserve">, H., 2009. How resource competition shapes individual life history for </w:t>
      </w:r>
      <w:proofErr w:type="spellStart"/>
      <w:r w:rsidRPr="008D48B8">
        <w:t>nonplastic</w:t>
      </w:r>
      <w:proofErr w:type="spellEnd"/>
      <w:r w:rsidRPr="008D48B8">
        <w:t xml:space="preserve"> growth: ungulates in seasonal food environments. Ecology 90, 945–960. https://doi.org/10.1890/07-1153.1</w:t>
      </w:r>
    </w:p>
    <w:p w14:paraId="5CF2B753" w14:textId="77777777" w:rsidR="008D48B8" w:rsidRPr="008D48B8" w:rsidRDefault="008D48B8" w:rsidP="008D48B8">
      <w:pPr>
        <w:pStyle w:val="Bibliography"/>
      </w:pPr>
      <w:proofErr w:type="spellStart"/>
      <w:r w:rsidRPr="008D48B8">
        <w:t>Heyning</w:t>
      </w:r>
      <w:proofErr w:type="spellEnd"/>
      <w:r w:rsidRPr="008D48B8">
        <w:t>, J.E., 1989. Cuvier’s beaked whale Ziphius cavirostris G. Cuvier, 1823, in: Ridgway, S.H., Harrison, R. (Eds.), Handbook of Marine Mammals. London and San Diego, pp. 289–308.</w:t>
      </w:r>
    </w:p>
    <w:p w14:paraId="666FDBD8" w14:textId="77777777" w:rsidR="008D48B8" w:rsidRPr="008D48B8" w:rsidRDefault="008D48B8" w:rsidP="008D48B8">
      <w:pPr>
        <w:pStyle w:val="Bibliography"/>
      </w:pPr>
      <w:r w:rsidRPr="008D48B8">
        <w:t xml:space="preserve">Hin, V., Harwood, J., de </w:t>
      </w:r>
      <w:proofErr w:type="spellStart"/>
      <w:r w:rsidRPr="008D48B8">
        <w:t>Roos</w:t>
      </w:r>
      <w:proofErr w:type="spellEnd"/>
      <w:r w:rsidRPr="008D48B8">
        <w:t xml:space="preserve">, A.M., 2021. Density dependence can obscure nonlethal effects of disturbance on life history of medium-sized cetaceans. </w:t>
      </w:r>
      <w:proofErr w:type="spellStart"/>
      <w:r w:rsidRPr="008D48B8">
        <w:t>PLoS</w:t>
      </w:r>
      <w:proofErr w:type="spellEnd"/>
      <w:r w:rsidRPr="008D48B8">
        <w:t xml:space="preserve"> ONE 16, e0252677. https://doi.org/10.1371/journal.pone.0252677</w:t>
      </w:r>
    </w:p>
    <w:p w14:paraId="6C51CE80" w14:textId="77777777" w:rsidR="008D48B8" w:rsidRPr="008D48B8" w:rsidRDefault="008D48B8" w:rsidP="008D48B8">
      <w:pPr>
        <w:pStyle w:val="Bibliography"/>
      </w:pPr>
      <w:r w:rsidRPr="008D48B8">
        <w:t xml:space="preserve">Hin, V., Harwood, J., De </w:t>
      </w:r>
      <w:proofErr w:type="spellStart"/>
      <w:r w:rsidRPr="008D48B8">
        <w:t>Roos</w:t>
      </w:r>
      <w:proofErr w:type="spellEnd"/>
      <w:r w:rsidRPr="008D48B8">
        <w:t>, A.M., 2019. Bio</w:t>
      </w:r>
      <w:r w:rsidRPr="008D48B8">
        <w:rPr>
          <w:rFonts w:ascii="Cambria Math" w:hAnsi="Cambria Math" w:cs="Cambria Math"/>
        </w:rPr>
        <w:t>‐</w:t>
      </w:r>
      <w:r w:rsidRPr="008D48B8">
        <w:t>energetic modeling of medium</w:t>
      </w:r>
      <w:r w:rsidRPr="008D48B8">
        <w:rPr>
          <w:rFonts w:ascii="Cambria Math" w:hAnsi="Cambria Math" w:cs="Cambria Math"/>
        </w:rPr>
        <w:t>‐</w:t>
      </w:r>
      <w:r w:rsidRPr="008D48B8">
        <w:t xml:space="preserve">sized cetaceans shows high sensitivity to disturbance in seasons of low resource supply. </w:t>
      </w:r>
      <w:proofErr w:type="spellStart"/>
      <w:r w:rsidRPr="008D48B8">
        <w:t>Ecol</w:t>
      </w:r>
      <w:proofErr w:type="spellEnd"/>
      <w:r w:rsidRPr="008D48B8">
        <w:t xml:space="preserve"> Appl 29. https://doi.org/10.1002/eap.1903</w:t>
      </w:r>
    </w:p>
    <w:p w14:paraId="196BE6F5" w14:textId="77777777" w:rsidR="008D48B8" w:rsidRPr="008D48B8" w:rsidRDefault="008D48B8" w:rsidP="008D48B8">
      <w:pPr>
        <w:pStyle w:val="Bibliography"/>
      </w:pPr>
      <w:proofErr w:type="spellStart"/>
      <w:r w:rsidRPr="008D48B8">
        <w:t>Kleiber</w:t>
      </w:r>
      <w:proofErr w:type="spellEnd"/>
      <w:r w:rsidRPr="008D48B8">
        <w:t>, M., 1975. The fire of life: an introduction to animal energetics. R.E. Krieger Pub. Co., Huntington, N.Y.</w:t>
      </w:r>
    </w:p>
    <w:p w14:paraId="5B88128E" w14:textId="77777777" w:rsidR="008D48B8" w:rsidRPr="008D48B8" w:rsidRDefault="008D48B8" w:rsidP="008D48B8">
      <w:pPr>
        <w:pStyle w:val="Bibliography"/>
      </w:pPr>
      <w:proofErr w:type="spellStart"/>
      <w:r w:rsidRPr="008D48B8">
        <w:t>Kooijman</w:t>
      </w:r>
      <w:proofErr w:type="spellEnd"/>
      <w:r w:rsidRPr="008D48B8">
        <w:t xml:space="preserve">, B., 2009. Dynamic energy budget theory for metabolic </w:t>
      </w:r>
      <w:proofErr w:type="spellStart"/>
      <w:r w:rsidRPr="008D48B8">
        <w:t>organisation</w:t>
      </w:r>
      <w:proofErr w:type="spellEnd"/>
      <w:r w:rsidRPr="008D48B8">
        <w:t>, 3rd ed. Cambridge University Press, Cambridge. https://doi.org/10.1017/CBO9780511805400</w:t>
      </w:r>
    </w:p>
    <w:p w14:paraId="0E3CAB5A" w14:textId="77777777" w:rsidR="008D48B8" w:rsidRPr="008D48B8" w:rsidRDefault="008D48B8" w:rsidP="008D48B8">
      <w:pPr>
        <w:pStyle w:val="Bibliography"/>
        <w:rPr>
          <w:lang w:val="nl-NL"/>
        </w:rPr>
      </w:pPr>
      <w:r w:rsidRPr="008D48B8">
        <w:t xml:space="preserve">Koopman, H.N., 2018. Function and evolution of specialized endogenous lipids in toothed whales. </w:t>
      </w:r>
      <w:r w:rsidRPr="008D48B8">
        <w:rPr>
          <w:lang w:val="nl-NL"/>
        </w:rPr>
        <w:t xml:space="preserve">J </w:t>
      </w:r>
      <w:proofErr w:type="spellStart"/>
      <w:r w:rsidRPr="008D48B8">
        <w:rPr>
          <w:lang w:val="nl-NL"/>
        </w:rPr>
        <w:t>Exp</w:t>
      </w:r>
      <w:proofErr w:type="spellEnd"/>
      <w:r w:rsidRPr="008D48B8">
        <w:rPr>
          <w:lang w:val="nl-NL"/>
        </w:rPr>
        <w:t xml:space="preserve"> </w:t>
      </w:r>
      <w:proofErr w:type="spellStart"/>
      <w:r w:rsidRPr="008D48B8">
        <w:rPr>
          <w:lang w:val="nl-NL"/>
        </w:rPr>
        <w:t>Biol</w:t>
      </w:r>
      <w:proofErr w:type="spellEnd"/>
      <w:r w:rsidRPr="008D48B8">
        <w:rPr>
          <w:lang w:val="nl-NL"/>
        </w:rPr>
        <w:t xml:space="preserve"> 221, jeb161471. </w:t>
      </w:r>
      <w:proofErr w:type="gramStart"/>
      <w:r w:rsidRPr="008D48B8">
        <w:rPr>
          <w:lang w:val="nl-NL"/>
        </w:rPr>
        <w:t>https://doi.org/10.1242/jeb.161471</w:t>
      </w:r>
      <w:proofErr w:type="gramEnd"/>
    </w:p>
    <w:p w14:paraId="48866666" w14:textId="77777777" w:rsidR="008D48B8" w:rsidRPr="008D48B8" w:rsidRDefault="008D48B8" w:rsidP="008D48B8">
      <w:pPr>
        <w:pStyle w:val="Bibliography"/>
      </w:pPr>
      <w:r w:rsidRPr="008D48B8">
        <w:rPr>
          <w:lang w:val="nl-NL"/>
        </w:rPr>
        <w:t xml:space="preserve">Koopman, H.N., 2007. </w:t>
      </w:r>
      <w:r w:rsidRPr="008D48B8">
        <w:t>Phylogenetic, ecological, and ontogenetic factors influencing the biochemical structure of the blubber of odontocetes. Mar Biol 151, 277–291. https://doi.org/10.1007/s00227-006-0489-8</w:t>
      </w:r>
    </w:p>
    <w:p w14:paraId="67133490" w14:textId="77777777" w:rsidR="008D48B8" w:rsidRPr="008D48B8" w:rsidRDefault="008D48B8" w:rsidP="008D48B8">
      <w:pPr>
        <w:pStyle w:val="Bibliography"/>
      </w:pPr>
      <w:r w:rsidRPr="008D48B8">
        <w:t>Lockyer, C., 2007. All creatures great and smaller: a study in cetacean life history energetics. J. Mar. Biol. Ass. 87, 1035–1045. https://doi.org/10.1017/S0025315407054720</w:t>
      </w:r>
    </w:p>
    <w:p w14:paraId="66D46C86" w14:textId="77777777" w:rsidR="008D48B8" w:rsidRPr="008D48B8" w:rsidRDefault="008D48B8" w:rsidP="008D48B8">
      <w:pPr>
        <w:pStyle w:val="Bibliography"/>
      </w:pPr>
      <w:r w:rsidRPr="008D48B8">
        <w:t xml:space="preserve">Lockyer, C., 1993. Seasonal changes in body fat condition of Northeast Atlantic pilot whales, and their biological significance. Rep Int </w:t>
      </w:r>
      <w:proofErr w:type="spellStart"/>
      <w:r w:rsidRPr="008D48B8">
        <w:t>Whal</w:t>
      </w:r>
      <w:proofErr w:type="spellEnd"/>
      <w:r w:rsidRPr="008D48B8">
        <w:t xml:space="preserve"> </w:t>
      </w:r>
      <w:proofErr w:type="spellStart"/>
      <w:r w:rsidRPr="008D48B8">
        <w:t>Commn</w:t>
      </w:r>
      <w:proofErr w:type="spellEnd"/>
      <w:r w:rsidRPr="008D48B8">
        <w:t xml:space="preserve"> (Special Issue 14) 325–350.</w:t>
      </w:r>
    </w:p>
    <w:p w14:paraId="7E544650" w14:textId="77777777" w:rsidR="008D48B8" w:rsidRPr="008D48B8" w:rsidRDefault="008D48B8" w:rsidP="008D48B8">
      <w:pPr>
        <w:pStyle w:val="Bibliography"/>
      </w:pPr>
      <w:r w:rsidRPr="008D48B8">
        <w:t>MacLeod, C.D., 2006. How big is a beaked whale? A review of body length and sexual size dimorphism in the family Ziphiidae. Journal of Cetacean Research and Management 7, 301–308.</w:t>
      </w:r>
    </w:p>
    <w:p w14:paraId="021A7203" w14:textId="77777777" w:rsidR="008D48B8" w:rsidRPr="008D48B8" w:rsidRDefault="008D48B8" w:rsidP="008D48B8">
      <w:pPr>
        <w:pStyle w:val="Bibliography"/>
      </w:pPr>
      <w:r w:rsidRPr="008D48B8">
        <w:t>Mead, J.G., 1984. Survey of Reproductive Data for the Beaked Whales (</w:t>
      </w:r>
      <w:r w:rsidRPr="008D48B8">
        <w:rPr>
          <w:i/>
          <w:iCs/>
        </w:rPr>
        <w:t>Ziphiidae</w:t>
      </w:r>
      <w:r w:rsidRPr="008D48B8">
        <w:t xml:space="preserve">). Rep Int </w:t>
      </w:r>
      <w:proofErr w:type="spellStart"/>
      <w:r w:rsidRPr="008D48B8">
        <w:t>Whal</w:t>
      </w:r>
      <w:proofErr w:type="spellEnd"/>
      <w:r w:rsidRPr="008D48B8">
        <w:t xml:space="preserve"> </w:t>
      </w:r>
      <w:proofErr w:type="spellStart"/>
      <w:r w:rsidRPr="008D48B8">
        <w:t>Commn</w:t>
      </w:r>
      <w:proofErr w:type="spellEnd"/>
      <w:r w:rsidRPr="008D48B8">
        <w:t xml:space="preserve"> (Special Issue 6) 91–96.</w:t>
      </w:r>
    </w:p>
    <w:p w14:paraId="4B9495CF" w14:textId="77777777" w:rsidR="008D48B8" w:rsidRPr="008D48B8" w:rsidRDefault="008D48B8" w:rsidP="008D48B8">
      <w:pPr>
        <w:pStyle w:val="Bibliography"/>
      </w:pPr>
      <w:r w:rsidRPr="008D48B8">
        <w:t xml:space="preserve">Mead, J.G., Walker, W.A., Houck, W.J., 1982. Biological Observations on Mesoplodon </w:t>
      </w:r>
      <w:proofErr w:type="spellStart"/>
      <w:r w:rsidRPr="008D48B8">
        <w:t>carlhubbsi</w:t>
      </w:r>
      <w:proofErr w:type="spellEnd"/>
      <w:r w:rsidRPr="008D48B8">
        <w:t xml:space="preserve"> (Cetacea: Ziphiidae), Smithsonian Contributions to Zoology. Smithsonian Institution Press, Washington.</w:t>
      </w:r>
    </w:p>
    <w:p w14:paraId="1E44134D" w14:textId="77777777" w:rsidR="008D48B8" w:rsidRPr="008D48B8" w:rsidRDefault="008D48B8" w:rsidP="008D48B8">
      <w:pPr>
        <w:pStyle w:val="Bibliography"/>
      </w:pPr>
      <w:r w:rsidRPr="008D48B8">
        <w:lastRenderedPageBreak/>
        <w:t xml:space="preserve">New, L.F., Moretti, D.J., Hooker, S.K., Costa, D.P., Simmons, S.E., 2013. Using energetic models to investigate the survival and reproduction of beaked whales (family </w:t>
      </w:r>
      <w:r w:rsidRPr="008D48B8">
        <w:rPr>
          <w:i/>
          <w:iCs/>
        </w:rPr>
        <w:t>Ziphiidae</w:t>
      </w:r>
      <w:r w:rsidRPr="008D48B8">
        <w:t xml:space="preserve">). </w:t>
      </w:r>
      <w:proofErr w:type="spellStart"/>
      <w:r w:rsidRPr="008D48B8">
        <w:t>PLoS</w:t>
      </w:r>
      <w:proofErr w:type="spellEnd"/>
      <w:r w:rsidRPr="008D48B8">
        <w:t xml:space="preserve"> ONE 8, e68725. https://doi.org/10.1371/journal.pone.0068725</w:t>
      </w:r>
    </w:p>
    <w:p w14:paraId="34A52712" w14:textId="77777777" w:rsidR="008D48B8" w:rsidRPr="008D48B8" w:rsidRDefault="008D48B8" w:rsidP="008D48B8">
      <w:pPr>
        <w:pStyle w:val="Bibliography"/>
      </w:pPr>
      <w:proofErr w:type="spellStart"/>
      <w:r w:rsidRPr="008D48B8">
        <w:t>Nishiwaki</w:t>
      </w:r>
      <w:proofErr w:type="spellEnd"/>
      <w:r w:rsidRPr="008D48B8">
        <w:t xml:space="preserve">, M., </w:t>
      </w:r>
      <w:proofErr w:type="spellStart"/>
      <w:r w:rsidRPr="008D48B8">
        <w:t>Oguro</w:t>
      </w:r>
      <w:proofErr w:type="spellEnd"/>
      <w:r w:rsidRPr="008D48B8">
        <w:t>, N., 1972. Catch of the Cuvier’s Beaked Whales Off Japan in Recent Years. Sci. Rep. Whales Res. Inst. 35–41.</w:t>
      </w:r>
    </w:p>
    <w:p w14:paraId="3ED8BCEC" w14:textId="77777777" w:rsidR="008D48B8" w:rsidRPr="008D48B8" w:rsidRDefault="008D48B8" w:rsidP="008D48B8">
      <w:pPr>
        <w:pStyle w:val="Bibliography"/>
      </w:pPr>
      <w:r w:rsidRPr="008D48B8">
        <w:t xml:space="preserve">Pabst, D.A., McLellan, W.A., Rommel, S.A., 2016. How to Build a Deep Diver: The Extreme Morphology of </w:t>
      </w:r>
      <w:proofErr w:type="spellStart"/>
      <w:r w:rsidRPr="008D48B8">
        <w:t>Mesoplodonts</w:t>
      </w:r>
      <w:proofErr w:type="spellEnd"/>
      <w:r w:rsidRPr="008D48B8">
        <w:t xml:space="preserve">. </w:t>
      </w:r>
      <w:proofErr w:type="spellStart"/>
      <w:r w:rsidRPr="008D48B8">
        <w:t>Integr</w:t>
      </w:r>
      <w:proofErr w:type="spellEnd"/>
      <w:r w:rsidRPr="008D48B8">
        <w:t>. Comp. Biol. 56, 1337–1348. https://doi.org/10.1093/icb/icw126</w:t>
      </w:r>
    </w:p>
    <w:p w14:paraId="1BD48C58" w14:textId="77777777" w:rsidR="008D48B8" w:rsidRPr="008D48B8" w:rsidRDefault="008D48B8" w:rsidP="008D48B8">
      <w:pPr>
        <w:pStyle w:val="Bibliography"/>
      </w:pPr>
      <w:r w:rsidRPr="008D48B8">
        <w:t>Siler, W., 1979. A competing-risk model for animal mortality. Ecology 60, 750–757. https://doi.org/10.2307/1936612</w:t>
      </w:r>
    </w:p>
    <w:p w14:paraId="4418C0F1" w14:textId="77777777" w:rsidR="008D48B8" w:rsidRPr="008D48B8" w:rsidRDefault="008D48B8" w:rsidP="008D48B8">
      <w:pPr>
        <w:pStyle w:val="Bibliography"/>
      </w:pPr>
      <w:proofErr w:type="spellStart"/>
      <w:r w:rsidRPr="008D48B8">
        <w:t>Southall</w:t>
      </w:r>
      <w:proofErr w:type="spellEnd"/>
      <w:r w:rsidRPr="008D48B8">
        <w:t>, B.L., Benoit</w:t>
      </w:r>
      <w:r w:rsidRPr="008D48B8">
        <w:rPr>
          <w:rFonts w:ascii="Cambria Math" w:hAnsi="Cambria Math" w:cs="Cambria Math"/>
        </w:rPr>
        <w:t>‐</w:t>
      </w:r>
      <w:r w:rsidRPr="008D48B8">
        <w:t>Bird, K.J., Moline, M.A., Moretti, D., 2019. Quantifying deep</w:t>
      </w:r>
      <w:r w:rsidRPr="008D48B8">
        <w:rPr>
          <w:rFonts w:ascii="Cambria Math" w:hAnsi="Cambria Math" w:cs="Cambria Math"/>
        </w:rPr>
        <w:t>‐</w:t>
      </w:r>
      <w:r w:rsidRPr="008D48B8">
        <w:t xml:space="preserve">sea predator–prey dynamics: Implications of biological heterogeneity for beaked whale conservation. J Appl </w:t>
      </w:r>
      <w:proofErr w:type="spellStart"/>
      <w:r w:rsidRPr="008D48B8">
        <w:t>Ecol</w:t>
      </w:r>
      <w:proofErr w:type="spellEnd"/>
      <w:r w:rsidRPr="008D48B8">
        <w:t xml:space="preserve"> 56, 1040–1049. https://doi.org/10.1111/1365-2664.13334</w:t>
      </w:r>
    </w:p>
    <w:p w14:paraId="04AEC781" w14:textId="77777777" w:rsidR="008D48B8" w:rsidRPr="008D48B8" w:rsidRDefault="008D48B8" w:rsidP="008D48B8">
      <w:pPr>
        <w:pStyle w:val="Bibliography"/>
      </w:pPr>
      <w:r w:rsidRPr="008D48B8">
        <w:t xml:space="preserve">Tyack, P.L., Johnson, M., Soto, N.A., </w:t>
      </w:r>
      <w:proofErr w:type="spellStart"/>
      <w:r w:rsidRPr="008D48B8">
        <w:t>Sturlese</w:t>
      </w:r>
      <w:proofErr w:type="spellEnd"/>
      <w:r w:rsidRPr="008D48B8">
        <w:t>, A., Madsen, P.T., 2006. Extreme diving of beaked whales. Journal of Experimental Biology 209, 4238–4253. https://doi.org/10.1242/jeb.02505</w:t>
      </w:r>
    </w:p>
    <w:p w14:paraId="4920A61C" w14:textId="6B459238" w:rsidR="00D27EAA" w:rsidRDefault="00503B58" w:rsidP="0041732C">
      <w:pPr>
        <w:pStyle w:val="Firstparagraph"/>
      </w:pPr>
      <w:r>
        <w:fldChar w:fldCharType="end"/>
      </w:r>
    </w:p>
    <w:sectPr w:rsidR="00D27E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59563" w14:textId="77777777" w:rsidR="00975F35" w:rsidRDefault="00975F35" w:rsidP="0082745D">
      <w:r>
        <w:separator/>
      </w:r>
    </w:p>
  </w:endnote>
  <w:endnote w:type="continuationSeparator" w:id="0">
    <w:p w14:paraId="7288A6FD" w14:textId="77777777" w:rsidR="00975F35" w:rsidRDefault="00975F35" w:rsidP="00827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5E299" w14:textId="77777777" w:rsidR="00975F35" w:rsidRDefault="00975F35" w:rsidP="0082745D">
      <w:r>
        <w:separator/>
      </w:r>
    </w:p>
  </w:footnote>
  <w:footnote w:type="continuationSeparator" w:id="0">
    <w:p w14:paraId="3CBA47CB" w14:textId="77777777" w:rsidR="00975F35" w:rsidRDefault="00975F35" w:rsidP="008274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F9"/>
    <w:rsid w:val="00000F69"/>
    <w:rsid w:val="00002368"/>
    <w:rsid w:val="00002CB6"/>
    <w:rsid w:val="000047CD"/>
    <w:rsid w:val="000065C2"/>
    <w:rsid w:val="00010414"/>
    <w:rsid w:val="000114FE"/>
    <w:rsid w:val="00011D4B"/>
    <w:rsid w:val="000120EC"/>
    <w:rsid w:val="00020EB8"/>
    <w:rsid w:val="00024E16"/>
    <w:rsid w:val="00025FBA"/>
    <w:rsid w:val="00030596"/>
    <w:rsid w:val="00030E5D"/>
    <w:rsid w:val="0004105E"/>
    <w:rsid w:val="00041390"/>
    <w:rsid w:val="000437A5"/>
    <w:rsid w:val="00043F76"/>
    <w:rsid w:val="00046A5E"/>
    <w:rsid w:val="00053C5B"/>
    <w:rsid w:val="00055D43"/>
    <w:rsid w:val="00060F16"/>
    <w:rsid w:val="00063E13"/>
    <w:rsid w:val="00067D88"/>
    <w:rsid w:val="000721F1"/>
    <w:rsid w:val="000725B7"/>
    <w:rsid w:val="000725C9"/>
    <w:rsid w:val="00073D41"/>
    <w:rsid w:val="0007568B"/>
    <w:rsid w:val="000762C0"/>
    <w:rsid w:val="00080A10"/>
    <w:rsid w:val="00083F4C"/>
    <w:rsid w:val="00084D61"/>
    <w:rsid w:val="00085DC9"/>
    <w:rsid w:val="000900C2"/>
    <w:rsid w:val="0009170C"/>
    <w:rsid w:val="00092299"/>
    <w:rsid w:val="00094205"/>
    <w:rsid w:val="00094489"/>
    <w:rsid w:val="0009484C"/>
    <w:rsid w:val="00095EAC"/>
    <w:rsid w:val="0009716E"/>
    <w:rsid w:val="000A3CF8"/>
    <w:rsid w:val="000A4A17"/>
    <w:rsid w:val="000A4D67"/>
    <w:rsid w:val="000B49D3"/>
    <w:rsid w:val="000B51B2"/>
    <w:rsid w:val="000B6379"/>
    <w:rsid w:val="000B7429"/>
    <w:rsid w:val="000C0F6B"/>
    <w:rsid w:val="000C234F"/>
    <w:rsid w:val="000C32EB"/>
    <w:rsid w:val="000C4136"/>
    <w:rsid w:val="000C4A55"/>
    <w:rsid w:val="000C5788"/>
    <w:rsid w:val="000D0247"/>
    <w:rsid w:val="000D406C"/>
    <w:rsid w:val="000E5078"/>
    <w:rsid w:val="000E6152"/>
    <w:rsid w:val="000F5D88"/>
    <w:rsid w:val="000F7FCF"/>
    <w:rsid w:val="0010077D"/>
    <w:rsid w:val="00101AA9"/>
    <w:rsid w:val="00101C96"/>
    <w:rsid w:val="0010481C"/>
    <w:rsid w:val="00104B2F"/>
    <w:rsid w:val="00111001"/>
    <w:rsid w:val="0011409F"/>
    <w:rsid w:val="00117596"/>
    <w:rsid w:val="00123C08"/>
    <w:rsid w:val="0012731B"/>
    <w:rsid w:val="00132F1B"/>
    <w:rsid w:val="0013614B"/>
    <w:rsid w:val="00136756"/>
    <w:rsid w:val="001428AC"/>
    <w:rsid w:val="0014397E"/>
    <w:rsid w:val="0014656A"/>
    <w:rsid w:val="00147660"/>
    <w:rsid w:val="001522A1"/>
    <w:rsid w:val="00161743"/>
    <w:rsid w:val="00163663"/>
    <w:rsid w:val="00163DE7"/>
    <w:rsid w:val="001648F3"/>
    <w:rsid w:val="001655B1"/>
    <w:rsid w:val="00170A9E"/>
    <w:rsid w:val="00171B2D"/>
    <w:rsid w:val="001723F5"/>
    <w:rsid w:val="00175DBB"/>
    <w:rsid w:val="00183795"/>
    <w:rsid w:val="00183EB2"/>
    <w:rsid w:val="00184DA8"/>
    <w:rsid w:val="00187D75"/>
    <w:rsid w:val="00196F0A"/>
    <w:rsid w:val="001A003E"/>
    <w:rsid w:val="001A217E"/>
    <w:rsid w:val="001A3982"/>
    <w:rsid w:val="001A3E98"/>
    <w:rsid w:val="001A4F22"/>
    <w:rsid w:val="001A7E92"/>
    <w:rsid w:val="001B078D"/>
    <w:rsid w:val="001B5608"/>
    <w:rsid w:val="001B5F7A"/>
    <w:rsid w:val="001B7A6B"/>
    <w:rsid w:val="001C04A6"/>
    <w:rsid w:val="001C0505"/>
    <w:rsid w:val="001D3984"/>
    <w:rsid w:val="001D7171"/>
    <w:rsid w:val="001D7471"/>
    <w:rsid w:val="001E0005"/>
    <w:rsid w:val="001E10BC"/>
    <w:rsid w:val="001E24F9"/>
    <w:rsid w:val="001E4065"/>
    <w:rsid w:val="001E40F2"/>
    <w:rsid w:val="001E5A53"/>
    <w:rsid w:val="001E5ED1"/>
    <w:rsid w:val="001F0586"/>
    <w:rsid w:val="001F1EEB"/>
    <w:rsid w:val="001F2506"/>
    <w:rsid w:val="001F354E"/>
    <w:rsid w:val="001F3C46"/>
    <w:rsid w:val="001F4345"/>
    <w:rsid w:val="001F4B89"/>
    <w:rsid w:val="00201130"/>
    <w:rsid w:val="00201E22"/>
    <w:rsid w:val="0020399A"/>
    <w:rsid w:val="0020552A"/>
    <w:rsid w:val="002055C8"/>
    <w:rsid w:val="002061D3"/>
    <w:rsid w:val="00210451"/>
    <w:rsid w:val="002136C9"/>
    <w:rsid w:val="0022478E"/>
    <w:rsid w:val="0023328F"/>
    <w:rsid w:val="0023382A"/>
    <w:rsid w:val="00235136"/>
    <w:rsid w:val="0023593F"/>
    <w:rsid w:val="00236C54"/>
    <w:rsid w:val="00237573"/>
    <w:rsid w:val="00240A7D"/>
    <w:rsid w:val="00240A9E"/>
    <w:rsid w:val="00240E06"/>
    <w:rsid w:val="00241040"/>
    <w:rsid w:val="002416AF"/>
    <w:rsid w:val="002465FE"/>
    <w:rsid w:val="00247330"/>
    <w:rsid w:val="002510F2"/>
    <w:rsid w:val="002511A3"/>
    <w:rsid w:val="00253304"/>
    <w:rsid w:val="00253E7A"/>
    <w:rsid w:val="002577F7"/>
    <w:rsid w:val="002601B0"/>
    <w:rsid w:val="002612FB"/>
    <w:rsid w:val="00262ADD"/>
    <w:rsid w:val="00264893"/>
    <w:rsid w:val="002733F2"/>
    <w:rsid w:val="00274F58"/>
    <w:rsid w:val="00276C7F"/>
    <w:rsid w:val="002810E7"/>
    <w:rsid w:val="00281C83"/>
    <w:rsid w:val="00281D8E"/>
    <w:rsid w:val="00284247"/>
    <w:rsid w:val="00284D44"/>
    <w:rsid w:val="002850B6"/>
    <w:rsid w:val="002872AE"/>
    <w:rsid w:val="002A1B60"/>
    <w:rsid w:val="002A2195"/>
    <w:rsid w:val="002A387E"/>
    <w:rsid w:val="002A4FAE"/>
    <w:rsid w:val="002B29D9"/>
    <w:rsid w:val="002B2A2C"/>
    <w:rsid w:val="002B3075"/>
    <w:rsid w:val="002B5B70"/>
    <w:rsid w:val="002C04C9"/>
    <w:rsid w:val="002C098C"/>
    <w:rsid w:val="002C19F6"/>
    <w:rsid w:val="002C2B3B"/>
    <w:rsid w:val="002C6845"/>
    <w:rsid w:val="002D10D9"/>
    <w:rsid w:val="002D155A"/>
    <w:rsid w:val="002D3063"/>
    <w:rsid w:val="002D475D"/>
    <w:rsid w:val="002D4B6B"/>
    <w:rsid w:val="002D7297"/>
    <w:rsid w:val="002E1DD4"/>
    <w:rsid w:val="002E224D"/>
    <w:rsid w:val="002E244C"/>
    <w:rsid w:val="002E3DDA"/>
    <w:rsid w:val="002E55A1"/>
    <w:rsid w:val="002F0C9D"/>
    <w:rsid w:val="002F40D7"/>
    <w:rsid w:val="002F4A16"/>
    <w:rsid w:val="002F4F7D"/>
    <w:rsid w:val="003015EB"/>
    <w:rsid w:val="0030547D"/>
    <w:rsid w:val="003078A5"/>
    <w:rsid w:val="003127D0"/>
    <w:rsid w:val="0031322E"/>
    <w:rsid w:val="00313BEE"/>
    <w:rsid w:val="0031414D"/>
    <w:rsid w:val="003203FF"/>
    <w:rsid w:val="003307A8"/>
    <w:rsid w:val="003310DA"/>
    <w:rsid w:val="00334452"/>
    <w:rsid w:val="00334DB0"/>
    <w:rsid w:val="0033520A"/>
    <w:rsid w:val="00347DBA"/>
    <w:rsid w:val="0036249E"/>
    <w:rsid w:val="00365B1D"/>
    <w:rsid w:val="003703D5"/>
    <w:rsid w:val="00371DC4"/>
    <w:rsid w:val="00372126"/>
    <w:rsid w:val="00374E9C"/>
    <w:rsid w:val="00375E27"/>
    <w:rsid w:val="0037724A"/>
    <w:rsid w:val="00381CB7"/>
    <w:rsid w:val="00382C78"/>
    <w:rsid w:val="00383352"/>
    <w:rsid w:val="00383D9E"/>
    <w:rsid w:val="003855C7"/>
    <w:rsid w:val="00385DF1"/>
    <w:rsid w:val="00387DC0"/>
    <w:rsid w:val="00390435"/>
    <w:rsid w:val="00393E05"/>
    <w:rsid w:val="003961E9"/>
    <w:rsid w:val="00396A35"/>
    <w:rsid w:val="003A206C"/>
    <w:rsid w:val="003A688C"/>
    <w:rsid w:val="003A7E2A"/>
    <w:rsid w:val="003B21EC"/>
    <w:rsid w:val="003B6902"/>
    <w:rsid w:val="003C0B18"/>
    <w:rsid w:val="003C0E75"/>
    <w:rsid w:val="003C1315"/>
    <w:rsid w:val="003C25AA"/>
    <w:rsid w:val="003C2A39"/>
    <w:rsid w:val="003C30D2"/>
    <w:rsid w:val="003C477D"/>
    <w:rsid w:val="003D0ED2"/>
    <w:rsid w:val="003D142E"/>
    <w:rsid w:val="003D2146"/>
    <w:rsid w:val="003D4664"/>
    <w:rsid w:val="003D52A6"/>
    <w:rsid w:val="003D595A"/>
    <w:rsid w:val="003D61AF"/>
    <w:rsid w:val="003E013A"/>
    <w:rsid w:val="003E31DE"/>
    <w:rsid w:val="003E7FB9"/>
    <w:rsid w:val="003F25EA"/>
    <w:rsid w:val="0040045E"/>
    <w:rsid w:val="0040128C"/>
    <w:rsid w:val="0040137B"/>
    <w:rsid w:val="00402718"/>
    <w:rsid w:val="004030A5"/>
    <w:rsid w:val="0040579B"/>
    <w:rsid w:val="004100DE"/>
    <w:rsid w:val="00410A7F"/>
    <w:rsid w:val="00411066"/>
    <w:rsid w:val="00413640"/>
    <w:rsid w:val="004145E5"/>
    <w:rsid w:val="00415C00"/>
    <w:rsid w:val="0041732C"/>
    <w:rsid w:val="00417E93"/>
    <w:rsid w:val="004274F5"/>
    <w:rsid w:val="00431677"/>
    <w:rsid w:val="00433EDB"/>
    <w:rsid w:val="00435636"/>
    <w:rsid w:val="00435B08"/>
    <w:rsid w:val="00436A77"/>
    <w:rsid w:val="00440439"/>
    <w:rsid w:val="0044044F"/>
    <w:rsid w:val="0044046E"/>
    <w:rsid w:val="00443924"/>
    <w:rsid w:val="00444446"/>
    <w:rsid w:val="00446A3A"/>
    <w:rsid w:val="00447F0B"/>
    <w:rsid w:val="004506F5"/>
    <w:rsid w:val="004509BF"/>
    <w:rsid w:val="00452172"/>
    <w:rsid w:val="00455E83"/>
    <w:rsid w:val="00456877"/>
    <w:rsid w:val="00460BD4"/>
    <w:rsid w:val="00461F2B"/>
    <w:rsid w:val="004650FF"/>
    <w:rsid w:val="004707D5"/>
    <w:rsid w:val="00471161"/>
    <w:rsid w:val="00471AB5"/>
    <w:rsid w:val="0047200F"/>
    <w:rsid w:val="0047216D"/>
    <w:rsid w:val="00472635"/>
    <w:rsid w:val="00472B00"/>
    <w:rsid w:val="00473487"/>
    <w:rsid w:val="00477563"/>
    <w:rsid w:val="004819F6"/>
    <w:rsid w:val="00483E88"/>
    <w:rsid w:val="004846D9"/>
    <w:rsid w:val="004864D3"/>
    <w:rsid w:val="00490D3D"/>
    <w:rsid w:val="00491B5E"/>
    <w:rsid w:val="00491FF3"/>
    <w:rsid w:val="0049469E"/>
    <w:rsid w:val="004A2FCD"/>
    <w:rsid w:val="004A3EB7"/>
    <w:rsid w:val="004A6575"/>
    <w:rsid w:val="004A712F"/>
    <w:rsid w:val="004A76F5"/>
    <w:rsid w:val="004B2219"/>
    <w:rsid w:val="004B591C"/>
    <w:rsid w:val="004B698A"/>
    <w:rsid w:val="004C057D"/>
    <w:rsid w:val="004C29BA"/>
    <w:rsid w:val="004C2F7B"/>
    <w:rsid w:val="004C41C7"/>
    <w:rsid w:val="004C429A"/>
    <w:rsid w:val="004C5EE2"/>
    <w:rsid w:val="004D517D"/>
    <w:rsid w:val="004D5DEA"/>
    <w:rsid w:val="004D7037"/>
    <w:rsid w:val="004D7C2D"/>
    <w:rsid w:val="004D7C96"/>
    <w:rsid w:val="004E579C"/>
    <w:rsid w:val="004F353B"/>
    <w:rsid w:val="004F4E90"/>
    <w:rsid w:val="00503B58"/>
    <w:rsid w:val="00505438"/>
    <w:rsid w:val="00506128"/>
    <w:rsid w:val="0050713E"/>
    <w:rsid w:val="0051015B"/>
    <w:rsid w:val="00514F53"/>
    <w:rsid w:val="00516853"/>
    <w:rsid w:val="00516DBF"/>
    <w:rsid w:val="00521EE3"/>
    <w:rsid w:val="00522795"/>
    <w:rsid w:val="005267E6"/>
    <w:rsid w:val="0053264F"/>
    <w:rsid w:val="00543730"/>
    <w:rsid w:val="00543A6F"/>
    <w:rsid w:val="00546030"/>
    <w:rsid w:val="00547985"/>
    <w:rsid w:val="0055033D"/>
    <w:rsid w:val="00550CA5"/>
    <w:rsid w:val="005517F2"/>
    <w:rsid w:val="00551A5B"/>
    <w:rsid w:val="00554BA4"/>
    <w:rsid w:val="00556ACC"/>
    <w:rsid w:val="00556FD0"/>
    <w:rsid w:val="00557B42"/>
    <w:rsid w:val="0056192C"/>
    <w:rsid w:val="00561B3C"/>
    <w:rsid w:val="0056367D"/>
    <w:rsid w:val="005648EF"/>
    <w:rsid w:val="005669A7"/>
    <w:rsid w:val="0057262B"/>
    <w:rsid w:val="00573FB0"/>
    <w:rsid w:val="0057474C"/>
    <w:rsid w:val="00574F71"/>
    <w:rsid w:val="00577D83"/>
    <w:rsid w:val="00577F13"/>
    <w:rsid w:val="00582A04"/>
    <w:rsid w:val="00583195"/>
    <w:rsid w:val="00586CBE"/>
    <w:rsid w:val="005937E1"/>
    <w:rsid w:val="00594941"/>
    <w:rsid w:val="005960C2"/>
    <w:rsid w:val="00597245"/>
    <w:rsid w:val="005A012A"/>
    <w:rsid w:val="005A0323"/>
    <w:rsid w:val="005A63A7"/>
    <w:rsid w:val="005B168C"/>
    <w:rsid w:val="005B24A7"/>
    <w:rsid w:val="005B2AFE"/>
    <w:rsid w:val="005B4215"/>
    <w:rsid w:val="005B667B"/>
    <w:rsid w:val="005C3BF6"/>
    <w:rsid w:val="005C64D2"/>
    <w:rsid w:val="005D380E"/>
    <w:rsid w:val="005D5AA5"/>
    <w:rsid w:val="005E2FA2"/>
    <w:rsid w:val="005E478A"/>
    <w:rsid w:val="005F2EDF"/>
    <w:rsid w:val="006009C5"/>
    <w:rsid w:val="006009E6"/>
    <w:rsid w:val="00601283"/>
    <w:rsid w:val="00601DBB"/>
    <w:rsid w:val="00602C24"/>
    <w:rsid w:val="0060472A"/>
    <w:rsid w:val="00604CC6"/>
    <w:rsid w:val="006052D4"/>
    <w:rsid w:val="006120E1"/>
    <w:rsid w:val="006133AA"/>
    <w:rsid w:val="00616C39"/>
    <w:rsid w:val="00621479"/>
    <w:rsid w:val="006227C9"/>
    <w:rsid w:val="00623116"/>
    <w:rsid w:val="00624B1E"/>
    <w:rsid w:val="00627E31"/>
    <w:rsid w:val="006302C4"/>
    <w:rsid w:val="00630C87"/>
    <w:rsid w:val="006325A4"/>
    <w:rsid w:val="00636959"/>
    <w:rsid w:val="00640AC4"/>
    <w:rsid w:val="00644241"/>
    <w:rsid w:val="006447AC"/>
    <w:rsid w:val="0064781C"/>
    <w:rsid w:val="00652408"/>
    <w:rsid w:val="00652B43"/>
    <w:rsid w:val="00652D11"/>
    <w:rsid w:val="006553A1"/>
    <w:rsid w:val="00655715"/>
    <w:rsid w:val="00655910"/>
    <w:rsid w:val="006655F0"/>
    <w:rsid w:val="00666438"/>
    <w:rsid w:val="00666B6A"/>
    <w:rsid w:val="00670983"/>
    <w:rsid w:val="00672F3D"/>
    <w:rsid w:val="0067628A"/>
    <w:rsid w:val="0067761A"/>
    <w:rsid w:val="006804B2"/>
    <w:rsid w:val="00681A82"/>
    <w:rsid w:val="006853A6"/>
    <w:rsid w:val="006931BB"/>
    <w:rsid w:val="006A21DF"/>
    <w:rsid w:val="006A5A2C"/>
    <w:rsid w:val="006B322C"/>
    <w:rsid w:val="006B3763"/>
    <w:rsid w:val="006B3F9F"/>
    <w:rsid w:val="006B70EB"/>
    <w:rsid w:val="006C0033"/>
    <w:rsid w:val="006C2FAF"/>
    <w:rsid w:val="006C4168"/>
    <w:rsid w:val="006C44DA"/>
    <w:rsid w:val="006C5DB2"/>
    <w:rsid w:val="006C6911"/>
    <w:rsid w:val="006C6A2A"/>
    <w:rsid w:val="006D0009"/>
    <w:rsid w:val="006D073E"/>
    <w:rsid w:val="006D08B0"/>
    <w:rsid w:val="006D1E07"/>
    <w:rsid w:val="006D2BF0"/>
    <w:rsid w:val="006D3D1E"/>
    <w:rsid w:val="006D51AF"/>
    <w:rsid w:val="006E09DB"/>
    <w:rsid w:val="006E75BC"/>
    <w:rsid w:val="006F0694"/>
    <w:rsid w:val="006F07F7"/>
    <w:rsid w:val="006F5B0D"/>
    <w:rsid w:val="006F6595"/>
    <w:rsid w:val="00700465"/>
    <w:rsid w:val="00701125"/>
    <w:rsid w:val="00702009"/>
    <w:rsid w:val="00702152"/>
    <w:rsid w:val="007059EE"/>
    <w:rsid w:val="00710FA1"/>
    <w:rsid w:val="00713A73"/>
    <w:rsid w:val="00716409"/>
    <w:rsid w:val="00716703"/>
    <w:rsid w:val="0072136A"/>
    <w:rsid w:val="00723094"/>
    <w:rsid w:val="00727AD7"/>
    <w:rsid w:val="00727C41"/>
    <w:rsid w:val="00730A13"/>
    <w:rsid w:val="007314C1"/>
    <w:rsid w:val="007318B1"/>
    <w:rsid w:val="00731DEB"/>
    <w:rsid w:val="00732E6F"/>
    <w:rsid w:val="00732EE5"/>
    <w:rsid w:val="00734217"/>
    <w:rsid w:val="00734328"/>
    <w:rsid w:val="00734A56"/>
    <w:rsid w:val="00746522"/>
    <w:rsid w:val="00747DEA"/>
    <w:rsid w:val="0075101A"/>
    <w:rsid w:val="007533BD"/>
    <w:rsid w:val="007542C5"/>
    <w:rsid w:val="007544D9"/>
    <w:rsid w:val="007556A1"/>
    <w:rsid w:val="00761A62"/>
    <w:rsid w:val="00770184"/>
    <w:rsid w:val="0077224D"/>
    <w:rsid w:val="007747B2"/>
    <w:rsid w:val="00775C8B"/>
    <w:rsid w:val="00783D95"/>
    <w:rsid w:val="00785519"/>
    <w:rsid w:val="007865AA"/>
    <w:rsid w:val="007901B3"/>
    <w:rsid w:val="007978DF"/>
    <w:rsid w:val="007A4D38"/>
    <w:rsid w:val="007A5E77"/>
    <w:rsid w:val="007A6EA1"/>
    <w:rsid w:val="007B0A11"/>
    <w:rsid w:val="007C00D8"/>
    <w:rsid w:val="007C018C"/>
    <w:rsid w:val="007C024D"/>
    <w:rsid w:val="007C156C"/>
    <w:rsid w:val="007C1D8B"/>
    <w:rsid w:val="007C24F7"/>
    <w:rsid w:val="007C4AB2"/>
    <w:rsid w:val="007D0EC1"/>
    <w:rsid w:val="007D1834"/>
    <w:rsid w:val="007D2179"/>
    <w:rsid w:val="007D3253"/>
    <w:rsid w:val="007D44EF"/>
    <w:rsid w:val="007D47FA"/>
    <w:rsid w:val="007D48CF"/>
    <w:rsid w:val="007D4970"/>
    <w:rsid w:val="007D4B34"/>
    <w:rsid w:val="007D7513"/>
    <w:rsid w:val="007D7DF9"/>
    <w:rsid w:val="007D7FB7"/>
    <w:rsid w:val="007E4626"/>
    <w:rsid w:val="007E5B6B"/>
    <w:rsid w:val="007F1C13"/>
    <w:rsid w:val="007F23D3"/>
    <w:rsid w:val="007F2500"/>
    <w:rsid w:val="007F3929"/>
    <w:rsid w:val="007F3C38"/>
    <w:rsid w:val="007F6958"/>
    <w:rsid w:val="007F6C18"/>
    <w:rsid w:val="007F79CF"/>
    <w:rsid w:val="00800081"/>
    <w:rsid w:val="008043B9"/>
    <w:rsid w:val="00804458"/>
    <w:rsid w:val="00806A57"/>
    <w:rsid w:val="008123BB"/>
    <w:rsid w:val="00813B3C"/>
    <w:rsid w:val="00814F60"/>
    <w:rsid w:val="00815B22"/>
    <w:rsid w:val="00816907"/>
    <w:rsid w:val="00821374"/>
    <w:rsid w:val="008219D7"/>
    <w:rsid w:val="0082745D"/>
    <w:rsid w:val="00830378"/>
    <w:rsid w:val="0083084D"/>
    <w:rsid w:val="00831A1B"/>
    <w:rsid w:val="00833606"/>
    <w:rsid w:val="00833743"/>
    <w:rsid w:val="00836D75"/>
    <w:rsid w:val="00837980"/>
    <w:rsid w:val="00841434"/>
    <w:rsid w:val="0084199D"/>
    <w:rsid w:val="0084206D"/>
    <w:rsid w:val="00842416"/>
    <w:rsid w:val="00844DB3"/>
    <w:rsid w:val="0084620A"/>
    <w:rsid w:val="00846316"/>
    <w:rsid w:val="00846715"/>
    <w:rsid w:val="00846D59"/>
    <w:rsid w:val="00853169"/>
    <w:rsid w:val="008538D3"/>
    <w:rsid w:val="00853A41"/>
    <w:rsid w:val="008614A0"/>
    <w:rsid w:val="00862BF1"/>
    <w:rsid w:val="00865704"/>
    <w:rsid w:val="00867469"/>
    <w:rsid w:val="008708CE"/>
    <w:rsid w:val="008732EE"/>
    <w:rsid w:val="00873F23"/>
    <w:rsid w:val="00873F78"/>
    <w:rsid w:val="00881C73"/>
    <w:rsid w:val="00881EC6"/>
    <w:rsid w:val="0088413F"/>
    <w:rsid w:val="00886F9E"/>
    <w:rsid w:val="00890F9F"/>
    <w:rsid w:val="00891DC7"/>
    <w:rsid w:val="008938F5"/>
    <w:rsid w:val="008A0025"/>
    <w:rsid w:val="008A4D16"/>
    <w:rsid w:val="008A4D83"/>
    <w:rsid w:val="008A60FD"/>
    <w:rsid w:val="008B02D8"/>
    <w:rsid w:val="008B55AC"/>
    <w:rsid w:val="008B5EDC"/>
    <w:rsid w:val="008B7425"/>
    <w:rsid w:val="008C095A"/>
    <w:rsid w:val="008C241E"/>
    <w:rsid w:val="008C47C7"/>
    <w:rsid w:val="008C74CC"/>
    <w:rsid w:val="008C7765"/>
    <w:rsid w:val="008D2B8B"/>
    <w:rsid w:val="008D4220"/>
    <w:rsid w:val="008D48B8"/>
    <w:rsid w:val="008D6C1C"/>
    <w:rsid w:val="008D7BF1"/>
    <w:rsid w:val="008E0F47"/>
    <w:rsid w:val="008E1383"/>
    <w:rsid w:val="008E2672"/>
    <w:rsid w:val="008E5277"/>
    <w:rsid w:val="008E78F1"/>
    <w:rsid w:val="008F0EB2"/>
    <w:rsid w:val="008F151F"/>
    <w:rsid w:val="008F5497"/>
    <w:rsid w:val="008F617C"/>
    <w:rsid w:val="008F6E14"/>
    <w:rsid w:val="008F7325"/>
    <w:rsid w:val="00901DB3"/>
    <w:rsid w:val="00904383"/>
    <w:rsid w:val="00904537"/>
    <w:rsid w:val="0091123B"/>
    <w:rsid w:val="00912675"/>
    <w:rsid w:val="00912782"/>
    <w:rsid w:val="009142D9"/>
    <w:rsid w:val="00914AF5"/>
    <w:rsid w:val="009157C9"/>
    <w:rsid w:val="00915B0C"/>
    <w:rsid w:val="0092146E"/>
    <w:rsid w:val="00922283"/>
    <w:rsid w:val="00924E03"/>
    <w:rsid w:val="009254FC"/>
    <w:rsid w:val="0092643A"/>
    <w:rsid w:val="00926692"/>
    <w:rsid w:val="00930CD1"/>
    <w:rsid w:val="00930D16"/>
    <w:rsid w:val="00931D21"/>
    <w:rsid w:val="00936916"/>
    <w:rsid w:val="00941268"/>
    <w:rsid w:val="009430C5"/>
    <w:rsid w:val="00945189"/>
    <w:rsid w:val="00950255"/>
    <w:rsid w:val="0095202D"/>
    <w:rsid w:val="00952251"/>
    <w:rsid w:val="00953425"/>
    <w:rsid w:val="00953B59"/>
    <w:rsid w:val="0095431F"/>
    <w:rsid w:val="00955656"/>
    <w:rsid w:val="00956E99"/>
    <w:rsid w:val="00957537"/>
    <w:rsid w:val="009652F5"/>
    <w:rsid w:val="00965BC8"/>
    <w:rsid w:val="00965CAB"/>
    <w:rsid w:val="009725B8"/>
    <w:rsid w:val="00973C65"/>
    <w:rsid w:val="009742DB"/>
    <w:rsid w:val="00975F35"/>
    <w:rsid w:val="009811DF"/>
    <w:rsid w:val="00981882"/>
    <w:rsid w:val="009827E7"/>
    <w:rsid w:val="0098543F"/>
    <w:rsid w:val="00985C3A"/>
    <w:rsid w:val="00987F9E"/>
    <w:rsid w:val="00993BF2"/>
    <w:rsid w:val="00994FD3"/>
    <w:rsid w:val="00996D73"/>
    <w:rsid w:val="009A0060"/>
    <w:rsid w:val="009A0081"/>
    <w:rsid w:val="009A4AA3"/>
    <w:rsid w:val="009A5074"/>
    <w:rsid w:val="009A50B7"/>
    <w:rsid w:val="009A69D1"/>
    <w:rsid w:val="009B0332"/>
    <w:rsid w:val="009B502E"/>
    <w:rsid w:val="009B7D42"/>
    <w:rsid w:val="009C130A"/>
    <w:rsid w:val="009C1317"/>
    <w:rsid w:val="009C4325"/>
    <w:rsid w:val="009C4D33"/>
    <w:rsid w:val="009C6BA5"/>
    <w:rsid w:val="009D1A50"/>
    <w:rsid w:val="009D249E"/>
    <w:rsid w:val="009D33AF"/>
    <w:rsid w:val="009D38AC"/>
    <w:rsid w:val="009D3F3D"/>
    <w:rsid w:val="009D4466"/>
    <w:rsid w:val="009D57DC"/>
    <w:rsid w:val="009E138C"/>
    <w:rsid w:val="009E402A"/>
    <w:rsid w:val="009F4107"/>
    <w:rsid w:val="00A02FF4"/>
    <w:rsid w:val="00A05E7F"/>
    <w:rsid w:val="00A07EBA"/>
    <w:rsid w:val="00A10011"/>
    <w:rsid w:val="00A11061"/>
    <w:rsid w:val="00A116E1"/>
    <w:rsid w:val="00A138E3"/>
    <w:rsid w:val="00A24430"/>
    <w:rsid w:val="00A25279"/>
    <w:rsid w:val="00A26BB1"/>
    <w:rsid w:val="00A26EA2"/>
    <w:rsid w:val="00A27863"/>
    <w:rsid w:val="00A31A83"/>
    <w:rsid w:val="00A32395"/>
    <w:rsid w:val="00A36202"/>
    <w:rsid w:val="00A40F94"/>
    <w:rsid w:val="00A4112F"/>
    <w:rsid w:val="00A44014"/>
    <w:rsid w:val="00A44E01"/>
    <w:rsid w:val="00A45C46"/>
    <w:rsid w:val="00A521A6"/>
    <w:rsid w:val="00A525BB"/>
    <w:rsid w:val="00A52725"/>
    <w:rsid w:val="00A53DB2"/>
    <w:rsid w:val="00A551E6"/>
    <w:rsid w:val="00A552A8"/>
    <w:rsid w:val="00A55C30"/>
    <w:rsid w:val="00A61925"/>
    <w:rsid w:val="00A62541"/>
    <w:rsid w:val="00A62D1B"/>
    <w:rsid w:val="00A63174"/>
    <w:rsid w:val="00A70B76"/>
    <w:rsid w:val="00A80817"/>
    <w:rsid w:val="00A840DF"/>
    <w:rsid w:val="00A86965"/>
    <w:rsid w:val="00A86E64"/>
    <w:rsid w:val="00A9083C"/>
    <w:rsid w:val="00A91338"/>
    <w:rsid w:val="00A9409D"/>
    <w:rsid w:val="00A94109"/>
    <w:rsid w:val="00A95A8B"/>
    <w:rsid w:val="00A96129"/>
    <w:rsid w:val="00A97D80"/>
    <w:rsid w:val="00AA11FF"/>
    <w:rsid w:val="00AA76F2"/>
    <w:rsid w:val="00AB08A9"/>
    <w:rsid w:val="00AB3319"/>
    <w:rsid w:val="00AB4365"/>
    <w:rsid w:val="00AB5077"/>
    <w:rsid w:val="00AB6756"/>
    <w:rsid w:val="00AC0F10"/>
    <w:rsid w:val="00AC2613"/>
    <w:rsid w:val="00AC39FB"/>
    <w:rsid w:val="00AC5B0F"/>
    <w:rsid w:val="00AD13A8"/>
    <w:rsid w:val="00AD1B46"/>
    <w:rsid w:val="00AD1F22"/>
    <w:rsid w:val="00AD2462"/>
    <w:rsid w:val="00AD3BFF"/>
    <w:rsid w:val="00AD69F2"/>
    <w:rsid w:val="00AE1511"/>
    <w:rsid w:val="00AE267D"/>
    <w:rsid w:val="00AE4CA5"/>
    <w:rsid w:val="00AE7073"/>
    <w:rsid w:val="00AE72AE"/>
    <w:rsid w:val="00AF34F3"/>
    <w:rsid w:val="00AF41D4"/>
    <w:rsid w:val="00AF48F0"/>
    <w:rsid w:val="00AF529C"/>
    <w:rsid w:val="00AF7151"/>
    <w:rsid w:val="00AF7FA3"/>
    <w:rsid w:val="00B044FF"/>
    <w:rsid w:val="00B064E1"/>
    <w:rsid w:val="00B108CB"/>
    <w:rsid w:val="00B10DC6"/>
    <w:rsid w:val="00B1279E"/>
    <w:rsid w:val="00B1412C"/>
    <w:rsid w:val="00B201AF"/>
    <w:rsid w:val="00B20AB9"/>
    <w:rsid w:val="00B215BA"/>
    <w:rsid w:val="00B23F85"/>
    <w:rsid w:val="00B27689"/>
    <w:rsid w:val="00B34016"/>
    <w:rsid w:val="00B35567"/>
    <w:rsid w:val="00B4017F"/>
    <w:rsid w:val="00B41E84"/>
    <w:rsid w:val="00B51E99"/>
    <w:rsid w:val="00B60D66"/>
    <w:rsid w:val="00B616ED"/>
    <w:rsid w:val="00B6255A"/>
    <w:rsid w:val="00B63573"/>
    <w:rsid w:val="00B647C1"/>
    <w:rsid w:val="00B702EF"/>
    <w:rsid w:val="00B70BD8"/>
    <w:rsid w:val="00B7151B"/>
    <w:rsid w:val="00B7225F"/>
    <w:rsid w:val="00B76225"/>
    <w:rsid w:val="00B769C4"/>
    <w:rsid w:val="00B80AF9"/>
    <w:rsid w:val="00B83D05"/>
    <w:rsid w:val="00B85007"/>
    <w:rsid w:val="00B902F8"/>
    <w:rsid w:val="00B91CDA"/>
    <w:rsid w:val="00BA130A"/>
    <w:rsid w:val="00BA2503"/>
    <w:rsid w:val="00BA3016"/>
    <w:rsid w:val="00BA71A0"/>
    <w:rsid w:val="00BB10A6"/>
    <w:rsid w:val="00BB16C0"/>
    <w:rsid w:val="00BB2406"/>
    <w:rsid w:val="00BB2A27"/>
    <w:rsid w:val="00BB3F20"/>
    <w:rsid w:val="00BB3FF4"/>
    <w:rsid w:val="00BC2B92"/>
    <w:rsid w:val="00BC528E"/>
    <w:rsid w:val="00BC6167"/>
    <w:rsid w:val="00BC7255"/>
    <w:rsid w:val="00BC72CC"/>
    <w:rsid w:val="00BC78E5"/>
    <w:rsid w:val="00BC7ABF"/>
    <w:rsid w:val="00BD67D7"/>
    <w:rsid w:val="00BD7960"/>
    <w:rsid w:val="00BE165C"/>
    <w:rsid w:val="00BE5166"/>
    <w:rsid w:val="00BE5FC6"/>
    <w:rsid w:val="00BF0082"/>
    <w:rsid w:val="00BF278C"/>
    <w:rsid w:val="00BF2A3D"/>
    <w:rsid w:val="00BF3451"/>
    <w:rsid w:val="00BF79D4"/>
    <w:rsid w:val="00C01177"/>
    <w:rsid w:val="00C018EA"/>
    <w:rsid w:val="00C04AE2"/>
    <w:rsid w:val="00C13A83"/>
    <w:rsid w:val="00C16EB1"/>
    <w:rsid w:val="00C253BC"/>
    <w:rsid w:val="00C26A94"/>
    <w:rsid w:val="00C301EC"/>
    <w:rsid w:val="00C31CFB"/>
    <w:rsid w:val="00C33E9B"/>
    <w:rsid w:val="00C3798C"/>
    <w:rsid w:val="00C40D92"/>
    <w:rsid w:val="00C42A65"/>
    <w:rsid w:val="00C42EE3"/>
    <w:rsid w:val="00C55D8B"/>
    <w:rsid w:val="00C562B0"/>
    <w:rsid w:val="00C569E6"/>
    <w:rsid w:val="00C60A3E"/>
    <w:rsid w:val="00C63152"/>
    <w:rsid w:val="00C642C7"/>
    <w:rsid w:val="00C64C36"/>
    <w:rsid w:val="00C64CB0"/>
    <w:rsid w:val="00C64E5B"/>
    <w:rsid w:val="00C75CE4"/>
    <w:rsid w:val="00C76161"/>
    <w:rsid w:val="00C81D67"/>
    <w:rsid w:val="00C8294B"/>
    <w:rsid w:val="00C857FA"/>
    <w:rsid w:val="00C86042"/>
    <w:rsid w:val="00C865DE"/>
    <w:rsid w:val="00C92158"/>
    <w:rsid w:val="00C937DF"/>
    <w:rsid w:val="00C94676"/>
    <w:rsid w:val="00C95EFD"/>
    <w:rsid w:val="00CA247C"/>
    <w:rsid w:val="00CA2B10"/>
    <w:rsid w:val="00CA429D"/>
    <w:rsid w:val="00CA6775"/>
    <w:rsid w:val="00CA6855"/>
    <w:rsid w:val="00CA7C54"/>
    <w:rsid w:val="00CB119E"/>
    <w:rsid w:val="00CB1D69"/>
    <w:rsid w:val="00CB5CC2"/>
    <w:rsid w:val="00CB6856"/>
    <w:rsid w:val="00CB74E3"/>
    <w:rsid w:val="00CB7613"/>
    <w:rsid w:val="00CC32AB"/>
    <w:rsid w:val="00CC4B0F"/>
    <w:rsid w:val="00CC71C0"/>
    <w:rsid w:val="00CD0CE4"/>
    <w:rsid w:val="00CD211F"/>
    <w:rsid w:val="00CD3FE0"/>
    <w:rsid w:val="00CD472E"/>
    <w:rsid w:val="00CD5332"/>
    <w:rsid w:val="00CD607F"/>
    <w:rsid w:val="00CE3FE8"/>
    <w:rsid w:val="00CE5A4C"/>
    <w:rsid w:val="00CE66B2"/>
    <w:rsid w:val="00CF2AA8"/>
    <w:rsid w:val="00CF468A"/>
    <w:rsid w:val="00D01349"/>
    <w:rsid w:val="00D031A6"/>
    <w:rsid w:val="00D05A3E"/>
    <w:rsid w:val="00D06DD3"/>
    <w:rsid w:val="00D1127B"/>
    <w:rsid w:val="00D112F6"/>
    <w:rsid w:val="00D1241F"/>
    <w:rsid w:val="00D137DD"/>
    <w:rsid w:val="00D155F0"/>
    <w:rsid w:val="00D21307"/>
    <w:rsid w:val="00D22203"/>
    <w:rsid w:val="00D227CA"/>
    <w:rsid w:val="00D2335C"/>
    <w:rsid w:val="00D234AC"/>
    <w:rsid w:val="00D2427C"/>
    <w:rsid w:val="00D24E97"/>
    <w:rsid w:val="00D270F9"/>
    <w:rsid w:val="00D27EAA"/>
    <w:rsid w:val="00D308A6"/>
    <w:rsid w:val="00D309F6"/>
    <w:rsid w:val="00D30AC5"/>
    <w:rsid w:val="00D3386F"/>
    <w:rsid w:val="00D35D89"/>
    <w:rsid w:val="00D3601E"/>
    <w:rsid w:val="00D36098"/>
    <w:rsid w:val="00D40EA0"/>
    <w:rsid w:val="00D40EC9"/>
    <w:rsid w:val="00D4177C"/>
    <w:rsid w:val="00D4366E"/>
    <w:rsid w:val="00D46131"/>
    <w:rsid w:val="00D469A1"/>
    <w:rsid w:val="00D46A74"/>
    <w:rsid w:val="00D52930"/>
    <w:rsid w:val="00D53E14"/>
    <w:rsid w:val="00D54590"/>
    <w:rsid w:val="00D56A37"/>
    <w:rsid w:val="00D57A81"/>
    <w:rsid w:val="00D60E9C"/>
    <w:rsid w:val="00D63F15"/>
    <w:rsid w:val="00D6515A"/>
    <w:rsid w:val="00D65B8C"/>
    <w:rsid w:val="00D704C3"/>
    <w:rsid w:val="00D73F05"/>
    <w:rsid w:val="00D753AC"/>
    <w:rsid w:val="00D82A98"/>
    <w:rsid w:val="00D84157"/>
    <w:rsid w:val="00D906B5"/>
    <w:rsid w:val="00D9182E"/>
    <w:rsid w:val="00D923C3"/>
    <w:rsid w:val="00D9340A"/>
    <w:rsid w:val="00D96140"/>
    <w:rsid w:val="00DA1036"/>
    <w:rsid w:val="00DA26F1"/>
    <w:rsid w:val="00DA46E3"/>
    <w:rsid w:val="00DB0E58"/>
    <w:rsid w:val="00DB1EF2"/>
    <w:rsid w:val="00DB23AB"/>
    <w:rsid w:val="00DB7177"/>
    <w:rsid w:val="00DC1C4A"/>
    <w:rsid w:val="00DC2B1F"/>
    <w:rsid w:val="00DC3ACA"/>
    <w:rsid w:val="00DC6AFC"/>
    <w:rsid w:val="00DC7EA3"/>
    <w:rsid w:val="00DD07DA"/>
    <w:rsid w:val="00DD1E6A"/>
    <w:rsid w:val="00DD3F6A"/>
    <w:rsid w:val="00DD4325"/>
    <w:rsid w:val="00DD5897"/>
    <w:rsid w:val="00DD5DB3"/>
    <w:rsid w:val="00DD6614"/>
    <w:rsid w:val="00DE0DF9"/>
    <w:rsid w:val="00DE2EB4"/>
    <w:rsid w:val="00DE3641"/>
    <w:rsid w:val="00DE3CA7"/>
    <w:rsid w:val="00DF2582"/>
    <w:rsid w:val="00DF42EA"/>
    <w:rsid w:val="00DF5AED"/>
    <w:rsid w:val="00DF748D"/>
    <w:rsid w:val="00E01DB8"/>
    <w:rsid w:val="00E01E1A"/>
    <w:rsid w:val="00E0434C"/>
    <w:rsid w:val="00E04CDC"/>
    <w:rsid w:val="00E07EA0"/>
    <w:rsid w:val="00E07EDD"/>
    <w:rsid w:val="00E10A32"/>
    <w:rsid w:val="00E1778D"/>
    <w:rsid w:val="00E20B98"/>
    <w:rsid w:val="00E22626"/>
    <w:rsid w:val="00E23274"/>
    <w:rsid w:val="00E23979"/>
    <w:rsid w:val="00E279B7"/>
    <w:rsid w:val="00E31565"/>
    <w:rsid w:val="00E33755"/>
    <w:rsid w:val="00E33C2D"/>
    <w:rsid w:val="00E355C7"/>
    <w:rsid w:val="00E35687"/>
    <w:rsid w:val="00E40340"/>
    <w:rsid w:val="00E42F52"/>
    <w:rsid w:val="00E43AEC"/>
    <w:rsid w:val="00E43B10"/>
    <w:rsid w:val="00E46829"/>
    <w:rsid w:val="00E46D61"/>
    <w:rsid w:val="00E47C64"/>
    <w:rsid w:val="00E50A49"/>
    <w:rsid w:val="00E55515"/>
    <w:rsid w:val="00E56972"/>
    <w:rsid w:val="00E56A3A"/>
    <w:rsid w:val="00E639B2"/>
    <w:rsid w:val="00E64074"/>
    <w:rsid w:val="00E7216C"/>
    <w:rsid w:val="00E757F9"/>
    <w:rsid w:val="00E75FB4"/>
    <w:rsid w:val="00E80568"/>
    <w:rsid w:val="00E808D9"/>
    <w:rsid w:val="00E81165"/>
    <w:rsid w:val="00E83EAC"/>
    <w:rsid w:val="00E84756"/>
    <w:rsid w:val="00E9152B"/>
    <w:rsid w:val="00E91712"/>
    <w:rsid w:val="00E91C35"/>
    <w:rsid w:val="00E97362"/>
    <w:rsid w:val="00EA0D21"/>
    <w:rsid w:val="00EA21C9"/>
    <w:rsid w:val="00EA3525"/>
    <w:rsid w:val="00EA3B67"/>
    <w:rsid w:val="00EA4883"/>
    <w:rsid w:val="00EA5C4C"/>
    <w:rsid w:val="00EA772B"/>
    <w:rsid w:val="00EB3CE7"/>
    <w:rsid w:val="00EB68C1"/>
    <w:rsid w:val="00EC1B44"/>
    <w:rsid w:val="00EC5531"/>
    <w:rsid w:val="00EC5840"/>
    <w:rsid w:val="00ED18E4"/>
    <w:rsid w:val="00ED1B17"/>
    <w:rsid w:val="00ED5C22"/>
    <w:rsid w:val="00ED71C9"/>
    <w:rsid w:val="00EE1F87"/>
    <w:rsid w:val="00EE2BA4"/>
    <w:rsid w:val="00EF31B7"/>
    <w:rsid w:val="00F03517"/>
    <w:rsid w:val="00F040AE"/>
    <w:rsid w:val="00F050DC"/>
    <w:rsid w:val="00F07D93"/>
    <w:rsid w:val="00F10BD0"/>
    <w:rsid w:val="00F10CDB"/>
    <w:rsid w:val="00F14E46"/>
    <w:rsid w:val="00F2306F"/>
    <w:rsid w:val="00F2440E"/>
    <w:rsid w:val="00F24DA5"/>
    <w:rsid w:val="00F26BF9"/>
    <w:rsid w:val="00F272C7"/>
    <w:rsid w:val="00F30727"/>
    <w:rsid w:val="00F319EF"/>
    <w:rsid w:val="00F3229E"/>
    <w:rsid w:val="00F33CAD"/>
    <w:rsid w:val="00F40C1B"/>
    <w:rsid w:val="00F43236"/>
    <w:rsid w:val="00F462C4"/>
    <w:rsid w:val="00F47AF4"/>
    <w:rsid w:val="00F50F25"/>
    <w:rsid w:val="00F5238A"/>
    <w:rsid w:val="00F52A97"/>
    <w:rsid w:val="00F537E0"/>
    <w:rsid w:val="00F56139"/>
    <w:rsid w:val="00F564B1"/>
    <w:rsid w:val="00F5656D"/>
    <w:rsid w:val="00F606F0"/>
    <w:rsid w:val="00F62045"/>
    <w:rsid w:val="00F646A5"/>
    <w:rsid w:val="00F70686"/>
    <w:rsid w:val="00F73EB3"/>
    <w:rsid w:val="00F808AB"/>
    <w:rsid w:val="00F830A3"/>
    <w:rsid w:val="00F8440A"/>
    <w:rsid w:val="00F84B11"/>
    <w:rsid w:val="00F85976"/>
    <w:rsid w:val="00F91A6D"/>
    <w:rsid w:val="00F91D73"/>
    <w:rsid w:val="00F932A7"/>
    <w:rsid w:val="00F971C3"/>
    <w:rsid w:val="00F97AF9"/>
    <w:rsid w:val="00FA10E4"/>
    <w:rsid w:val="00FA216C"/>
    <w:rsid w:val="00FA7668"/>
    <w:rsid w:val="00FB4068"/>
    <w:rsid w:val="00FB5A52"/>
    <w:rsid w:val="00FC1B04"/>
    <w:rsid w:val="00FC4DF9"/>
    <w:rsid w:val="00FC77D6"/>
    <w:rsid w:val="00FD48C2"/>
    <w:rsid w:val="00FD4C2F"/>
    <w:rsid w:val="00FD4F51"/>
    <w:rsid w:val="00FD6903"/>
    <w:rsid w:val="00FE4E1C"/>
    <w:rsid w:val="00FE5C1A"/>
    <w:rsid w:val="00FE660B"/>
    <w:rsid w:val="00FE6D9B"/>
    <w:rsid w:val="00FE78DC"/>
    <w:rsid w:val="00FF0D3F"/>
    <w:rsid w:val="00FF3FF1"/>
    <w:rsid w:val="00FF59A6"/>
    <w:rsid w:val="00FF60E6"/>
    <w:rsid w:val="00FF6AE3"/>
    <w:rsid w:val="00FF7A64"/>
    <w:rsid w:val="00FF7E9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4967"/>
  <w15:chartTrackingRefBased/>
  <w15:docId w15:val="{D15B3904-DB56-6948-BC4B-50004341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45D"/>
    <w:pPr>
      <w:spacing w:before="120" w:after="240" w:line="276" w:lineRule="auto"/>
      <w:ind w:firstLine="567"/>
    </w:pPr>
    <w:rPr>
      <w:rFonts w:ascii="Arial" w:hAnsi="Arial" w:cs="Arial"/>
      <w:sz w:val="22"/>
      <w:szCs w:val="22"/>
      <w:lang w:val="en-US"/>
    </w:rPr>
  </w:style>
  <w:style w:type="paragraph" w:styleId="Heading1">
    <w:name w:val="heading 1"/>
    <w:basedOn w:val="Normal"/>
    <w:next w:val="Normal"/>
    <w:link w:val="Heading1Char"/>
    <w:uiPriority w:val="9"/>
    <w:qFormat/>
    <w:rsid w:val="00CB74E3"/>
    <w:pPr>
      <w:keepNext/>
      <w:keepLines/>
      <w:spacing w:before="240"/>
      <w:ind w:firstLine="0"/>
      <w:outlineLvl w:val="0"/>
    </w:pPr>
    <w:rPr>
      <w:rFonts w:eastAsiaTheme="majorEastAsia"/>
      <w:sz w:val="32"/>
      <w:szCs w:val="32"/>
    </w:rPr>
  </w:style>
  <w:style w:type="paragraph" w:styleId="Heading2">
    <w:name w:val="heading 2"/>
    <w:basedOn w:val="Normal"/>
    <w:next w:val="Normal"/>
    <w:link w:val="Heading2Char"/>
    <w:uiPriority w:val="9"/>
    <w:unhideWhenUsed/>
    <w:qFormat/>
    <w:rsid w:val="001A3E98"/>
    <w:pPr>
      <w:spacing w:after="0"/>
      <w:ind w:firstLine="0"/>
      <w:outlineLvl w:val="1"/>
    </w:pPr>
    <w:rPr>
      <w:i/>
      <w:iCs/>
    </w:rPr>
  </w:style>
  <w:style w:type="paragraph" w:styleId="Heading3">
    <w:name w:val="heading 3"/>
    <w:basedOn w:val="Normal"/>
    <w:next w:val="Normal"/>
    <w:link w:val="Heading3Char"/>
    <w:uiPriority w:val="9"/>
    <w:unhideWhenUsed/>
    <w:qFormat/>
    <w:rsid w:val="002D15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qFormat/>
    <w:rsid w:val="002510F2"/>
    <w:pPr>
      <w:ind w:firstLine="0"/>
    </w:pPr>
  </w:style>
  <w:style w:type="character" w:customStyle="1" w:styleId="Heading1Char">
    <w:name w:val="Heading 1 Char"/>
    <w:basedOn w:val="DefaultParagraphFont"/>
    <w:link w:val="Heading1"/>
    <w:uiPriority w:val="9"/>
    <w:rsid w:val="00CB74E3"/>
    <w:rPr>
      <w:rFonts w:ascii="Arial" w:eastAsiaTheme="majorEastAsia" w:hAnsi="Arial" w:cs="Arial"/>
      <w:sz w:val="32"/>
      <w:szCs w:val="32"/>
      <w:lang w:val="en-US"/>
    </w:rPr>
  </w:style>
  <w:style w:type="character" w:customStyle="1" w:styleId="Heading2Char">
    <w:name w:val="Heading 2 Char"/>
    <w:basedOn w:val="DefaultParagraphFont"/>
    <w:link w:val="Heading2"/>
    <w:uiPriority w:val="9"/>
    <w:rsid w:val="001A3E98"/>
    <w:rPr>
      <w:rFonts w:ascii="Arial" w:hAnsi="Arial" w:cs="Arial"/>
      <w:i/>
      <w:iCs/>
      <w:sz w:val="22"/>
      <w:szCs w:val="22"/>
      <w:lang w:val="en-US"/>
    </w:rPr>
  </w:style>
  <w:style w:type="character" w:customStyle="1" w:styleId="Heading3Char">
    <w:name w:val="Heading 3 Char"/>
    <w:basedOn w:val="DefaultParagraphFont"/>
    <w:link w:val="Heading3"/>
    <w:uiPriority w:val="9"/>
    <w:rsid w:val="002D155A"/>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AB5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5077"/>
    <w:rPr>
      <w:color w:val="808080"/>
    </w:rPr>
  </w:style>
  <w:style w:type="paragraph" w:styleId="NoSpacing">
    <w:name w:val="No Spacing"/>
    <w:uiPriority w:val="1"/>
    <w:qFormat/>
    <w:rsid w:val="00E42F52"/>
    <w:pPr>
      <w:spacing w:line="276" w:lineRule="auto"/>
      <w:jc w:val="center"/>
    </w:pPr>
    <w:rPr>
      <w:rFonts w:ascii="Arial" w:hAnsi="Arial" w:cs="Arial"/>
      <w:sz w:val="20"/>
      <w:szCs w:val="20"/>
      <w:lang w:val="en-US"/>
    </w:rPr>
  </w:style>
  <w:style w:type="paragraph" w:styleId="BodyText">
    <w:name w:val="Body Text"/>
    <w:link w:val="BodyTextChar"/>
    <w:rsid w:val="00C13A83"/>
    <w:pPr>
      <w:pBdr>
        <w:top w:val="nil"/>
        <w:left w:val="nil"/>
        <w:bottom w:val="nil"/>
        <w:right w:val="nil"/>
        <w:between w:val="nil"/>
        <w:bar w:val="nil"/>
      </w:pBdr>
      <w:spacing w:after="120" w:line="480" w:lineRule="auto"/>
      <w:ind w:firstLine="567"/>
    </w:pPr>
    <w:rPr>
      <w:rFonts w:ascii="Calibri" w:eastAsia="Calibri" w:hAnsi="Calibri" w:cs="Calibri"/>
      <w:color w:val="000000"/>
      <w:u w:color="000000"/>
      <w:bdr w:val="nil"/>
      <w:lang w:val="en-US"/>
    </w:rPr>
  </w:style>
  <w:style w:type="character" w:customStyle="1" w:styleId="BodyTextChar">
    <w:name w:val="Body Text Char"/>
    <w:basedOn w:val="DefaultParagraphFont"/>
    <w:link w:val="BodyText"/>
    <w:rsid w:val="00C13A83"/>
    <w:rPr>
      <w:rFonts w:ascii="Calibri" w:eastAsia="Calibri" w:hAnsi="Calibri" w:cs="Calibri"/>
      <w:color w:val="000000"/>
      <w:u w:color="000000"/>
      <w:bdr w:val="nil"/>
      <w:lang w:val="en-US"/>
    </w:rPr>
  </w:style>
  <w:style w:type="paragraph" w:styleId="Title">
    <w:name w:val="Title"/>
    <w:basedOn w:val="Normal"/>
    <w:next w:val="Normal"/>
    <w:link w:val="TitleChar"/>
    <w:uiPriority w:val="10"/>
    <w:qFormat/>
    <w:rsid w:val="004C41C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1C7"/>
    <w:rPr>
      <w:rFonts w:asciiTheme="majorHAnsi" w:eastAsiaTheme="majorEastAsia" w:hAnsiTheme="majorHAnsi" w:cstheme="majorBidi"/>
      <w:spacing w:val="-10"/>
      <w:kern w:val="28"/>
      <w:sz w:val="56"/>
      <w:szCs w:val="56"/>
      <w:lang w:val="en-US"/>
    </w:rPr>
  </w:style>
  <w:style w:type="table" w:customStyle="1" w:styleId="PlainTable21">
    <w:name w:val="Plain Table 21"/>
    <w:basedOn w:val="TableNormal"/>
    <w:next w:val="PlainTable2"/>
    <w:rsid w:val="00846D59"/>
    <w:rPr>
      <w:lang w:val="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846D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09170C"/>
    <w:pPr>
      <w:spacing w:before="0"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A26F1"/>
    <w:rPr>
      <w:sz w:val="16"/>
      <w:szCs w:val="16"/>
    </w:rPr>
  </w:style>
  <w:style w:type="paragraph" w:styleId="CommentText">
    <w:name w:val="annotation text"/>
    <w:basedOn w:val="Normal"/>
    <w:link w:val="CommentTextChar"/>
    <w:uiPriority w:val="99"/>
    <w:unhideWhenUsed/>
    <w:rsid w:val="00DA26F1"/>
    <w:pPr>
      <w:spacing w:line="240" w:lineRule="auto"/>
    </w:pPr>
    <w:rPr>
      <w:sz w:val="20"/>
      <w:szCs w:val="20"/>
    </w:rPr>
  </w:style>
  <w:style w:type="character" w:customStyle="1" w:styleId="CommentTextChar">
    <w:name w:val="Comment Text Char"/>
    <w:basedOn w:val="DefaultParagraphFont"/>
    <w:link w:val="CommentText"/>
    <w:uiPriority w:val="99"/>
    <w:rsid w:val="00DA26F1"/>
    <w:rPr>
      <w:rFonts w:ascii="Arial" w:hAnsi="Arial" w:cs="Arial"/>
      <w:sz w:val="20"/>
      <w:szCs w:val="20"/>
      <w:lang w:val="en-US"/>
    </w:rPr>
  </w:style>
  <w:style w:type="paragraph" w:styleId="CommentSubject">
    <w:name w:val="annotation subject"/>
    <w:basedOn w:val="CommentText"/>
    <w:next w:val="CommentText"/>
    <w:link w:val="CommentSubjectChar"/>
    <w:uiPriority w:val="99"/>
    <w:semiHidden/>
    <w:unhideWhenUsed/>
    <w:rsid w:val="00DA26F1"/>
    <w:rPr>
      <w:b/>
      <w:bCs/>
    </w:rPr>
  </w:style>
  <w:style w:type="character" w:customStyle="1" w:styleId="CommentSubjectChar">
    <w:name w:val="Comment Subject Char"/>
    <w:basedOn w:val="CommentTextChar"/>
    <w:link w:val="CommentSubject"/>
    <w:uiPriority w:val="99"/>
    <w:semiHidden/>
    <w:rsid w:val="00DA26F1"/>
    <w:rPr>
      <w:rFonts w:ascii="Arial" w:hAnsi="Arial" w:cs="Arial"/>
      <w:b/>
      <w:bCs/>
      <w:sz w:val="20"/>
      <w:szCs w:val="20"/>
      <w:lang w:val="en-US"/>
    </w:rPr>
  </w:style>
  <w:style w:type="paragraph" w:styleId="Revision">
    <w:name w:val="Revision"/>
    <w:hidden/>
    <w:uiPriority w:val="99"/>
    <w:semiHidden/>
    <w:rsid w:val="00DA26F1"/>
    <w:rPr>
      <w:rFonts w:ascii="Arial" w:hAnsi="Arial" w:cs="Arial"/>
      <w:sz w:val="22"/>
      <w:szCs w:val="22"/>
      <w:lang w:val="en-US"/>
    </w:rPr>
  </w:style>
  <w:style w:type="paragraph" w:styleId="BalloonText">
    <w:name w:val="Balloon Text"/>
    <w:basedOn w:val="Normal"/>
    <w:link w:val="BalloonTextChar"/>
    <w:uiPriority w:val="99"/>
    <w:semiHidden/>
    <w:unhideWhenUsed/>
    <w:rsid w:val="00DA26F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6F1"/>
    <w:rPr>
      <w:rFonts w:ascii="Times New Roman" w:hAnsi="Times New Roman" w:cs="Times New Roman"/>
      <w:sz w:val="18"/>
      <w:szCs w:val="18"/>
      <w:lang w:val="en-US"/>
    </w:rPr>
  </w:style>
  <w:style w:type="paragraph" w:styleId="Header">
    <w:name w:val="header"/>
    <w:basedOn w:val="Normal"/>
    <w:link w:val="HeaderChar"/>
    <w:uiPriority w:val="99"/>
    <w:unhideWhenUsed/>
    <w:rsid w:val="001F1EE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1EEB"/>
    <w:rPr>
      <w:rFonts w:ascii="Arial" w:hAnsi="Arial" w:cs="Arial"/>
      <w:sz w:val="22"/>
      <w:szCs w:val="22"/>
      <w:lang w:val="en-US"/>
    </w:rPr>
  </w:style>
  <w:style w:type="paragraph" w:styleId="Footer">
    <w:name w:val="footer"/>
    <w:basedOn w:val="Normal"/>
    <w:link w:val="FooterChar"/>
    <w:uiPriority w:val="99"/>
    <w:unhideWhenUsed/>
    <w:rsid w:val="001F1EE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1EEB"/>
    <w:rPr>
      <w:rFonts w:ascii="Arial" w:hAnsi="Arial" w:cs="Arial"/>
      <w:sz w:val="22"/>
      <w:szCs w:val="22"/>
      <w:lang w:val="en-US"/>
    </w:rPr>
  </w:style>
  <w:style w:type="paragraph" w:styleId="Bibliography">
    <w:name w:val="Bibliography"/>
    <w:basedOn w:val="Normal"/>
    <w:next w:val="Normal"/>
    <w:uiPriority w:val="37"/>
    <w:unhideWhenUsed/>
    <w:rsid w:val="00503B5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275506">
      <w:bodyDiv w:val="1"/>
      <w:marLeft w:val="0"/>
      <w:marRight w:val="0"/>
      <w:marTop w:val="0"/>
      <w:marBottom w:val="0"/>
      <w:divBdr>
        <w:top w:val="none" w:sz="0" w:space="0" w:color="auto"/>
        <w:left w:val="none" w:sz="0" w:space="0" w:color="auto"/>
        <w:bottom w:val="none" w:sz="0" w:space="0" w:color="auto"/>
        <w:right w:val="none" w:sz="0" w:space="0" w:color="auto"/>
      </w:divBdr>
      <w:divsChild>
        <w:div w:id="1118455268">
          <w:marLeft w:val="0"/>
          <w:marRight w:val="0"/>
          <w:marTop w:val="0"/>
          <w:marBottom w:val="0"/>
          <w:divBdr>
            <w:top w:val="none" w:sz="0" w:space="0" w:color="auto"/>
            <w:left w:val="none" w:sz="0" w:space="0" w:color="auto"/>
            <w:bottom w:val="none" w:sz="0" w:space="0" w:color="auto"/>
            <w:right w:val="none" w:sz="0" w:space="0" w:color="auto"/>
          </w:divBdr>
          <w:divsChild>
            <w:div w:id="1767267980">
              <w:marLeft w:val="0"/>
              <w:marRight w:val="0"/>
              <w:marTop w:val="0"/>
              <w:marBottom w:val="0"/>
              <w:divBdr>
                <w:top w:val="none" w:sz="0" w:space="0" w:color="auto"/>
                <w:left w:val="none" w:sz="0" w:space="0" w:color="auto"/>
                <w:bottom w:val="none" w:sz="0" w:space="0" w:color="auto"/>
                <w:right w:val="none" w:sz="0" w:space="0" w:color="auto"/>
              </w:divBdr>
              <w:divsChild>
                <w:div w:id="1316374001">
                  <w:marLeft w:val="0"/>
                  <w:marRight w:val="0"/>
                  <w:marTop w:val="0"/>
                  <w:marBottom w:val="0"/>
                  <w:divBdr>
                    <w:top w:val="none" w:sz="0" w:space="0" w:color="auto"/>
                    <w:left w:val="none" w:sz="0" w:space="0" w:color="auto"/>
                    <w:bottom w:val="none" w:sz="0" w:space="0" w:color="auto"/>
                    <w:right w:val="none" w:sz="0" w:space="0" w:color="auto"/>
                  </w:divBdr>
                </w:div>
                <w:div w:id="11738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4912C9B-F180-F14A-984F-7A732973A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17</Pages>
  <Words>19384</Words>
  <Characters>110489</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Hin</dc:creator>
  <cp:keywords/>
  <dc:description/>
  <cp:lastModifiedBy>Vincent Hin</cp:lastModifiedBy>
  <cp:revision>1084</cp:revision>
  <dcterms:created xsi:type="dcterms:W3CDTF">2020-12-30T12:38:00Z</dcterms:created>
  <dcterms:modified xsi:type="dcterms:W3CDTF">2022-01-20T12:21:00Z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id="4EIRU0yy"/&gt;&lt;style id="http://www.zotero.org/styles/elsevier-harvard" hasBibliography="1" bibliographyStyleHasBeenSet="1"/&gt;&lt;prefs&gt;&lt;pref name="fieldType" value="Field"/&gt;&lt;/prefs&gt;&lt;/data&gt;</vt:lpwstr>
  </property>
  <property fmtid="{D5CDD505-2E9C-101B-9397-08002B2CF9AE}" pid="3" name="ZOTERO_PREF_2">
    <vt:lpwstr/>
  </property>
</Properties>
</file>