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Combining close-kin- and self-mark-recapture to improve walrus abundance</w:t>
      </w:r>
      <w:r>
        <w:t xml:space="preserve"> </w:t>
      </w:r>
      <w:r>
        <w:t xml:space="preserve">monitoring</w:t>
      </w:r>
    </w:p>
    <w:p>
      <w:pPr>
        <w:pStyle w:val="Author"/>
      </w:pPr>
      <w:r>
        <w:t xml:space="preserve">C.V. Radhakrishnan</w:t>
      </w:r>
    </w:p>
    <w:p>
      <w:pPr>
        <w:pStyle w:val="Author"/>
      </w:pPr>
      <w:r>
        <w:t xml:space="preserve">K. Bazargan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Abstract, should normally be not longer than 200 words.</w:t>
      </w:r>
    </w:p>
    <w:p>
      <w:pPr>
        <w:pStyle w:val="FirstParagraph"/>
      </w:pPr>
      <w:r>
        <w:t xml:space="preserve">walrus ,CKMR ,mark-recapture -557</w:t>
      </w:r>
    </w:p>
    <w:bookmarkStart w:id="20" w:name="introduction"/>
    <w:p>
      <w:pPr>
        <w:pStyle w:val="Heading1"/>
      </w:pPr>
      <w:r>
        <w:t xml:space="preserve">1 Introduction</w:t>
      </w:r>
    </w:p>
    <w:p>
      <w:pPr>
        <w:numPr>
          <w:ilvl w:val="0"/>
          <w:numId w:val="1001"/>
        </w:numPr>
      </w:pPr>
      <w:r>
        <w:t xml:space="preserve">Walrus have been in a bad way, and climate is changing, and they need</w:t>
      </w:r>
      <w:r>
        <w:t xml:space="preserve"> </w:t>
      </w:r>
      <w:r>
        <w:t xml:space="preserve">to be monitored for</w:t>
      </w:r>
      <w:r>
        <w:t xml:space="preserve"> </w:t>
      </w:r>
      <w:r>
        <w:t xml:space="preserve">[</w:t>
      </w:r>
      <w:r>
        <w:t xml:space="preserve">MMPA etc</w:t>
      </w:r>
      <w:r>
        <w:t xml:space="preserve">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Aerial surveys NBG, so monitoring entails expensive shipboard surveys</w:t>
      </w:r>
      <w:r>
        <w:t xml:space="preserve"> </w:t>
      </w:r>
      <w:r>
        <w:t xml:space="preserve">using biopsy mark-recapture.</w:t>
      </w:r>
    </w:p>
    <w:p>
      <w:pPr>
        <w:numPr>
          <w:ilvl w:val="0"/>
          <w:numId w:val="1001"/>
        </w:numPr>
      </w:pPr>
      <w:r>
        <w:t xml:space="preserve">Biopsies also contian info about close-kin in the samples, which can</w:t>
      </w:r>
      <w:r>
        <w:t xml:space="preserve"> </w:t>
      </w:r>
      <w:r>
        <w:t xml:space="preserve">substantially augment the inofrmation content of a given amount of</w:t>
      </w:r>
      <w:r>
        <w:t xml:space="preserve"> </w:t>
      </w:r>
      <w:r>
        <w:t xml:space="preserve">sampling effort.</w:t>
      </w:r>
    </w:p>
    <w:p>
      <w:pPr>
        <w:numPr>
          <w:ilvl w:val="0"/>
          <w:numId w:val="1001"/>
        </w:numPr>
      </w:pPr>
      <w:r>
        <w:t xml:space="preserve">We investigate how CKMR+IMR can be used to substantially</w:t>
      </w:r>
      <w:r>
        <w:t xml:space="preserve"> </w:t>
      </w:r>
      <w:r>
        <w:rPr>
          <w:i/>
          <w:iCs/>
        </w:rPr>
        <w:t xml:space="preserve">reduce</w:t>
      </w:r>
      <w:r>
        <w:t xml:space="preserve"> </w:t>
      </w:r>
      <w:r>
        <w:t xml:space="preserve">the overall amount of survey effort required for adequeate monitoring.</w:t>
      </w:r>
    </w:p>
    <w:p>
      <w:pPr>
        <w:pStyle w:val="FirstParagraph"/>
      </w:pPr>
      <w:r>
        <w:t xml:space="preserve">Also:</w:t>
      </w:r>
    </w:p>
    <w:p>
      <w:pPr>
        <w:numPr>
          <w:ilvl w:val="0"/>
          <w:numId w:val="1002"/>
        </w:numPr>
      </w:pPr>
      <w:r>
        <w:t xml:space="preserve">lethal samples as well as non-lethal</w:t>
      </w:r>
    </w:p>
    <w:p>
      <w:pPr>
        <w:numPr>
          <w:ilvl w:val="0"/>
          <w:numId w:val="1002"/>
        </w:numPr>
      </w:pPr>
      <w:r>
        <w:t xml:space="preserve">DNAge</w:t>
      </w:r>
    </w:p>
    <w:bookmarkEnd w:id="20"/>
    <w:bookmarkStart w:id="23" w:name="bcb-walrus"/>
    <w:p>
      <w:pPr>
        <w:pStyle w:val="Heading1"/>
      </w:pPr>
      <w:r>
        <w:t xml:space="preserve">2 BCB Walrus</w:t>
      </w:r>
    </w:p>
    <w:bookmarkStart w:id="21" w:name="walrus-biology-history"/>
    <w:p>
      <w:pPr>
        <w:pStyle w:val="Heading2"/>
      </w:pPr>
      <w:r>
        <w:t xml:space="preserve">2.1 Walrus biology &amp; history</w:t>
      </w:r>
    </w:p>
    <w:bookmarkEnd w:id="21"/>
    <w:bookmarkStart w:id="22" w:name="existing-imr-sampling-and-modeling"/>
    <w:p>
      <w:pPr>
        <w:pStyle w:val="Heading2"/>
      </w:pPr>
      <w:r>
        <w:t xml:space="preserve">2.2 Existing IMR sampling and modeling</w:t>
      </w:r>
    </w:p>
    <w:bookmarkEnd w:id="22"/>
    <w:bookmarkEnd w:id="23"/>
    <w:bookmarkStart w:id="29" w:name="ckmr-for-walrus"/>
    <w:p>
      <w:pPr>
        <w:pStyle w:val="Heading1"/>
      </w:pPr>
      <w:r>
        <w:t xml:space="preserve">3 CKMR for walrus</w:t>
      </w:r>
    </w:p>
    <w:p>
      <w:pPr>
        <w:pStyle w:val="FirstParagraph"/>
      </w:pPr>
      <w:r>
        <w:t xml:space="preserve">(slightly) simplified model for Design purps. Concentrating on ...</w:t>
      </w:r>
    </w:p>
    <w:bookmarkStart w:id="24" w:name="mops"/>
    <w:p>
      <w:pPr>
        <w:pStyle w:val="Heading2"/>
      </w:pPr>
      <w:r>
        <w:t xml:space="preserve">3.1 MOPs</w:t>
      </w:r>
    </w:p>
    <w:bookmarkEnd w:id="24"/>
    <w:bookmarkStart w:id="26" w:name="xmhsps"/>
    <w:p>
      <w:pPr>
        <w:pStyle w:val="Heading2"/>
      </w:pPr>
      <w:r>
        <w:t xml:space="preserve">3.2 XmHSPs</w:t>
      </w:r>
    </w:p>
    <w:bookmarkStart w:id="25" w:name="the-breeding-cycle"/>
    <w:p>
      <w:pPr>
        <w:pStyle w:val="Heading3"/>
      </w:pPr>
      <w:r>
        <w:t xml:space="preserve">3.2.1 The breeding cycle</w:t>
      </w:r>
    </w:p>
    <w:bookmarkEnd w:id="25"/>
    <w:bookmarkEnd w:id="26"/>
    <w:bookmarkStart w:id="27" w:name="selfps-imr-in-a-ckmr-setting"/>
    <w:p>
      <w:pPr>
        <w:pStyle w:val="Heading2"/>
      </w:pPr>
      <w:r>
        <w:t xml:space="preserve">3.3 SelfPs: IMR in a CKMR setting</w:t>
      </w:r>
    </w:p>
    <w:bookmarkEnd w:id="27"/>
    <w:bookmarkStart w:id="28" w:name="simulations-and-model-checking"/>
    <w:p>
      <w:pPr>
        <w:pStyle w:val="Heading2"/>
      </w:pPr>
      <w:r>
        <w:t xml:space="preserve">3.4 Simulations and model checking</w:t>
      </w:r>
    </w:p>
    <w:p>
      <w:pPr>
        <w:pStyle w:val="FirstParagraph"/>
      </w:pPr>
      <w:r>
        <w:t xml:space="preserve">... estimodel vs sims</w:t>
      </w:r>
    </w:p>
    <w:bookmarkEnd w:id="28"/>
    <w:bookmarkEnd w:id="29"/>
    <w:bookmarkStart w:id="30" w:name="design-calculations-for-ckmrimr"/>
    <w:p>
      <w:pPr>
        <w:pStyle w:val="Heading1"/>
      </w:pPr>
      <w:r>
        <w:t xml:space="preserve">4 Design calculations for CKMR+IMR</w:t>
      </w:r>
    </w:p>
    <w:p>
      <w:pPr>
        <w:pStyle w:val="FirstParagraph"/>
      </w:pPr>
      <w:r>
        <w:t xml:space="preserve">great wodge of theory— NB 2 MB what about HS..?</w:t>
      </w:r>
    </w:p>
    <w:p>
      <w:pPr>
        <w:pStyle w:val="BodyText"/>
      </w:pPr>
      <w:r>
        <w:t xml:space="preserve">“flowchart”</w:t>
      </w:r>
      <w:r>
        <w:t xml:space="preserve"> </w:t>
      </w:r>
      <w:r>
        <w:t xml:space="preserve">for what you</w:t>
      </w:r>
      <w:r>
        <w:t xml:space="preserve"> </w:t>
      </w:r>
      <w:r>
        <w:rPr>
          <w:i/>
          <w:iCs/>
        </w:rPr>
        <w:t xml:space="preserve">actually</w:t>
      </w:r>
      <w:r>
        <w:t xml:space="preserve"> </w:t>
      </w:r>
      <w:r>
        <w:t xml:space="preserve">need</w:t>
      </w:r>
    </w:p>
    <w:bookmarkEnd w:id="30"/>
    <w:bookmarkStart w:id="33" w:name="results"/>
    <w:p>
      <w:pPr>
        <w:pStyle w:val="Heading1"/>
      </w:pPr>
      <w:r>
        <w:t xml:space="preserve">5 Results</w:t>
      </w:r>
    </w:p>
    <w:p>
      <w:pPr>
        <w:pStyle w:val="FirstParagraph"/>
      </w:pPr>
      <w:r>
        <w:t xml:space="preserve">obvs the checks passed (eventually...). Not much more to say! (I suspect</w:t>
      </w:r>
      <w:r>
        <w:t xml:space="preserve"> </w:t>
      </w:r>
      <w:r>
        <w:t xml:space="preserve">it’s not worth reporting the checks— where do you stop with that?</w:t>
      </w:r>
      <w:r>
        <w:t xml:space="preserve"> </w:t>
      </w:r>
      <w:r>
        <w:t xml:space="preserve">but perhaps they should be avilable online, eg obs &amp; exp kin-totals?</w:t>
      </w:r>
      <w:r>
        <w:t xml:space="preserve"> </w:t>
      </w:r>
      <w:r>
        <w:t xml:space="preserve">mebbe report the deriv checks for bias, dunno)</w:t>
      </w:r>
    </w:p>
    <w:p>
      <w:pPr>
        <w:pStyle w:val="BodyText"/>
      </w:pPr>
      <w:r>
        <w:t xml:space="preserve">Present some scenarios and results together (do NOT put</w:t>
      </w:r>
      <w:r>
        <w:t xml:space="preserve"> </w:t>
      </w:r>
      <w:r>
        <w:t xml:space="preserve">“scenarios”</w:t>
      </w:r>
      <w:r>
        <w:t xml:space="preserve"> </w:t>
      </w:r>
      <w:r>
        <w:t xml:space="preserve">into separate ealier section, it just confuses the hell out of readers).</w:t>
      </w:r>
    </w:p>
    <w:bookmarkStart w:id="31" w:name="sample-sizes-and-duration"/>
    <w:p>
      <w:pPr>
        <w:pStyle w:val="Heading2"/>
      </w:pPr>
      <w:r>
        <w:t xml:space="preserve">5.1 Sample sizes and duration</w:t>
      </w:r>
    </w:p>
    <w:p>
      <w:pPr>
        <w:pStyle w:val="FirstParagraph"/>
      </w:pPr>
      <w:r>
        <w:t xml:space="preserve">Sample size investigations (main thing)</w:t>
      </w:r>
    </w:p>
    <w:bookmarkEnd w:id="31"/>
    <w:bookmarkStart w:id="32" w:name="sensitivity-analyses"/>
    <w:p>
      <w:pPr>
        <w:pStyle w:val="Heading2"/>
      </w:pPr>
      <w:r>
        <w:t xml:space="preserve">5.2 Sensitivity analyses</w:t>
      </w:r>
    </w:p>
    <w:p>
      <w:pPr>
        <w:numPr>
          <w:ilvl w:val="0"/>
          <w:numId w:val="1003"/>
        </w:numPr>
      </w:pPr>
      <w:r>
        <w:t xml:space="preserve">pop-dyn stable/inc/dec (presumably, minimal diff from a Design PoV,</w:t>
      </w:r>
      <w:r>
        <w:t xml:space="preserve"> </w:t>
      </w:r>
      <w:r>
        <w:t xml:space="preserve">ITO how much CKIMR adds rel to IMR— which is the key Design Q)</w:t>
      </w:r>
    </w:p>
    <w:p>
      <w:pPr>
        <w:numPr>
          <w:ilvl w:val="0"/>
          <w:numId w:val="1003"/>
        </w:numPr>
      </w:pPr>
      <w:r>
        <w:t xml:space="preserve">turning off CKMR (or IMR)</w:t>
      </w:r>
    </w:p>
    <w:p>
      <w:pPr>
        <w:numPr>
          <w:ilvl w:val="0"/>
          <w:numId w:val="1003"/>
        </w:numPr>
      </w:pPr>
      <w:r>
        <w:t xml:space="preserve">value of Lethal</w:t>
      </w:r>
    </w:p>
    <w:bookmarkEnd w:id="32"/>
    <w:bookmarkEnd w:id="33"/>
    <w:bookmarkStart w:id="35" w:name="discussion"/>
    <w:p>
      <w:pPr>
        <w:pStyle w:val="Heading1"/>
      </w:pPr>
      <w:r>
        <w:t xml:space="preserve">6 Discussion</w:t>
      </w:r>
    </w:p>
    <w:p>
      <w:pPr>
        <w:pStyle w:val="FirstParagraph"/>
      </w:pPr>
      <w:r>
        <w:t xml:space="preserve">We didn’t bother doing X coz IJAD</w:t>
      </w:r>
      <w:r>
        <w:rPr>
          <w:rStyle w:val="FootnoteReference"/>
        </w:rPr>
        <w:footnoteReference w:id="34"/>
      </w:r>
      <w:r>
        <w:t xml:space="preserve">. For</w:t>
      </w:r>
      <w:r>
        <w:t xml:space="preserve"> </w:t>
      </w:r>
      <w:r>
        <w:t xml:space="preserve">real data analysis, we might do Y instead.</w:t>
      </w:r>
    </w:p>
    <w:p>
      <w:pPr>
        <w:pStyle w:val="BodyText"/>
      </w:pPr>
      <w:r>
        <w:t xml:space="preserve">Ways to extend the model... impact of DNAge</w:t>
      </w:r>
    </w:p>
    <w:p>
      <w:pPr>
        <w:pStyle w:val="BodyText"/>
      </w:pPr>
      <w:r>
        <w:t xml:space="preserve">Future utility of lethal samples (my guess is, there won’t be enough;</w:t>
      </w:r>
      <w:r>
        <w:t xml:space="preserve"> </w:t>
      </w:r>
      <w:r>
        <w:t xml:space="preserve">glass-half-full, or glass-half-empty, if you’re a walrus?)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It’s Just A Design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Combining close-kin- and self-mark-recapture to improve walrus abundance monitoring</dc:title>
  <dc:creator>C.V. Radhakrishnan; K. Bazargan</dc:creator>
  <cp:keywords/>
  <dcterms:created xsi:type="dcterms:W3CDTF">2024-12-03T08:33:59Z</dcterms:created>
  <dcterms:modified xsi:type="dcterms:W3CDTF">2024-12-03T08:33:59Z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Abstract, should normally be not longer than 200 words.</vt:lpwstr>
  </property>
  <property fmtid="{D5CDD505-2E9C-101B-9397-08002B2CF9AE}" pid="3" name="address">
    <vt:lpwstr/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False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