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QA-Page"/>
        <w:jc w:val="right"/>
        <w:rPr>
          <w:lang w:val="fr-FR"/>
        </w:rPr>
      </w:pPr>
    </w:p>
    <w:tbl>
      <w:tblPr>
        <w:tblW w:w="103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64"/>
        <w:gridCol w:w="4458"/>
      </w:tblGrid>
      <w:tr>
        <w:tblPrEx>
          <w:shd w:val="clear" w:color="auto" w:fill="ced7e7"/>
        </w:tblPrEx>
        <w:trPr>
          <w:trHeight w:val="4292" w:hRule="exact"/>
        </w:trPr>
        <w:tc>
          <w:tcPr>
            <w:tcW w:type="dxa" w:w="58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QA-Page"/>
              <w:spacing w:after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Hilary Brown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Policy Advisor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Air Quality and Combustion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Resource, Atmosphere and Sustainability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Department for Environment, Food and Rural Affairs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Area 2C,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Nobel House,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17 Smith Square,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London,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SW1P 3JR</w:t>
            </w:r>
          </w:p>
          <w:p>
            <w:pPr>
              <w:pStyle w:val="header"/>
              <w:tabs>
                <w:tab w:val="right" w:pos="9000"/>
                <w:tab w:val="clear" w:pos="9072"/>
              </w:tabs>
              <w:spacing w:after="0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header"/>
              <w:tabs>
                <w:tab w:val="right" w:pos="9000"/>
                <w:tab w:val="clear" w:pos="9072"/>
              </w:tabs>
              <w:spacing w:after="0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24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Date: </w:t>
            </w:r>
            <w:r>
              <w:rPr>
                <w:rFonts w:ascii="Calibri" w:hAnsi="Calibri"/>
                <w:sz w:val="22"/>
                <w:szCs w:val="22"/>
                <w:shd w:val="clear" w:color="auto" w:fill="ffff00"/>
                <w:rtl w:val="0"/>
                <w:lang w:val="en-US"/>
              </w:rPr>
              <w:t>${TodayDate</w:t>
            </w:r>
            <w:r>
              <w:rPr>
                <w:shd w:val="clear" w:color="auto" w:fill="ffff00"/>
                <w:rtl w:val="0"/>
                <w:lang w:val="en-US"/>
              </w:rPr>
              <w:t>}</w:t>
            </w:r>
          </w:p>
        </w:tc>
        <w:tc>
          <w:tcPr>
            <w:tcW w:type="dxa" w:w="4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48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268"/>
              </w:tabs>
              <w:ind w:left="2268" w:hanging="2268"/>
              <w:jc w:val="right"/>
              <w:rPr>
                <w:shd w:val="nil" w:color="auto" w:fill="auto"/>
                <w:lang w:val="en-US"/>
              </w:rPr>
            </w:pP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Severn House,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Unit 5 Newtown Trading Estate, 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Green Lane 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Tewkesbury 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Gloucestershire 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GL20 8HD</w:t>
            </w:r>
          </w:p>
          <w:p>
            <w:pPr>
              <w:pStyle w:val="QA-Page"/>
              <w:spacing w:after="0"/>
              <w:ind w:right="1193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T: +44 (0)1684 278170</w:t>
            </w:r>
          </w:p>
          <w:p>
            <w:pPr>
              <w:pStyle w:val="Body"/>
              <w:bidi w:val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E: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smokecontrol@hetas.co.uk</w:t>
            </w:r>
          </w:p>
          <w:p>
            <w:pPr>
              <w:pStyle w:val="Body"/>
              <w:bidi w:val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instrText xml:space="preserve"> HYPERLINK "http://www.hetas.co.uk"</w:instrTex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sz w:val="22"/>
                <w:szCs w:val="22"/>
                <w:rtl w:val="0"/>
                <w:lang w:val="en-US"/>
              </w:rPr>
              <w:t>www.hetas.co.uk</w:t>
            </w:r>
            <w:r>
              <w:rPr>
                <w:rFonts w:ascii="Calibri" w:cs="Calibri" w:hAnsi="Calibri" w:eastAsia="Calibri"/>
                <w:sz w:val="22"/>
                <w:szCs w:val="22"/>
              </w:rPr>
              <w:fldChar w:fldCharType="end" w:fldLock="0"/>
            </w:r>
          </w:p>
          <w:p>
            <w:pPr>
              <w:pStyle w:val="Body"/>
              <w:ind w:right="1193"/>
              <w:jc w:val="right"/>
              <w:rPr>
                <w:rStyle w:val="Link"/>
                <w:outline w:val="0"/>
                <w:color w:val="0000ff"/>
                <w:u w:val="single" w:color="0000ff"/>
                <w:shd w:val="nil" w:color="auto" w:fill="auto"/>
                <w:lang w:val="fr-FR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"/>
              <w:ind w:right="1193"/>
              <w:jc w:val="right"/>
            </w:pPr>
            <w:r>
              <w:rPr>
                <w:shd w:val="nil" w:color="auto" w:fill="auto"/>
                <w:lang w:val="fr-FR"/>
              </w:rPr>
            </w:r>
          </w:p>
        </w:tc>
      </w:tr>
    </w:tbl>
    <w:p>
      <w:pPr>
        <w:pStyle w:val="Body"/>
        <w:spacing w:after="24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24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</w:rPr>
        <w:t xml:space="preserve">Re: </w:t>
      </w:r>
      <w:r>
        <w:rPr>
          <w:rFonts w:ascii="Calibri" w:hAnsi="Calibri"/>
          <w:b w:val="1"/>
          <w:bCs w:val="1"/>
          <w:sz w:val="22"/>
          <w:szCs w:val="22"/>
          <w:shd w:val="clear" w:color="auto" w:fill="ffff00"/>
          <w:rtl w:val="0"/>
          <w:lang w:val="en-US"/>
        </w:rPr>
        <w:t>${ApplicationNumber}/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Recommendation</w:t>
      </w:r>
      <w:r>
        <w:rPr>
          <w:rFonts w:ascii="Calibri" w:hAnsi="Calibri"/>
          <w:b w:val="1"/>
          <w:bCs w:val="1"/>
          <w:sz w:val="22"/>
          <w:szCs w:val="22"/>
          <w:shd w:val="clear" w:color="auto" w:fill="ffff00"/>
          <w:rtl w:val="0"/>
          <w:lang w:val="en-US"/>
        </w:rPr>
        <w:t>/${Manufacturer}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/Issue1</w:t>
      </w:r>
    </w:p>
    <w:p>
      <w:pPr>
        <w:pStyle w:val="Body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Dear Hilary,</w:t>
      </w:r>
    </w:p>
    <w:p>
      <w:pPr>
        <w:pStyle w:val="Body"/>
        <w:spacing w:after="240"/>
        <w:rPr>
          <w:rFonts w:ascii="Aleo" w:cs="Aleo" w:hAnsi="Aleo" w:eastAsia="Aleo"/>
          <w:b w:val="1"/>
          <w:bCs w:val="1"/>
          <w:caps w:val="1"/>
          <w:sz w:val="22"/>
          <w:szCs w:val="22"/>
        </w:rPr>
      </w:pPr>
      <w:r>
        <w:rPr>
          <w:rFonts w:ascii="Aleo" w:cs="Aleo" w:hAnsi="Aleo" w:eastAsia="Aleo"/>
          <w:b w:val="1"/>
          <w:bCs w:val="1"/>
          <w:caps w:val="1"/>
          <w:sz w:val="22"/>
          <w:szCs w:val="22"/>
          <w:rtl w:val="0"/>
          <w:lang w:val="en-US"/>
        </w:rPr>
        <w:t>Appliance Recommendation FOR Clean Air act Exemption</w:t>
      </w:r>
    </w:p>
    <w:p>
      <w:pPr>
        <w:pStyle w:val="Body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${Manufacturer}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have applied for the exemption of </w:t>
      </w:r>
      <w:r>
        <w:rPr>
          <w:rFonts w:ascii="Calibri" w:hAnsi="Calibri"/>
          <w:sz w:val="22"/>
          <w:szCs w:val="22"/>
          <w:shd w:val="clear" w:color="auto" w:fill="ffff00"/>
          <w:rtl w:val="0"/>
        </w:rPr>
        <w:t>x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appliance.</w:t>
      </w:r>
    </w:p>
    <w:p>
      <w:pPr>
        <w:pStyle w:val="Body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appliance that has been tested and it is considered that the following appliance is suitable for exemption under the Clean Air Act 1993:</w:t>
      </w:r>
    </w:p>
    <w:p>
      <w:pPr>
        <w:pStyle w:val="Body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${ApplianceName}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exempt when burning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${PermittedFuels}.</w:t>
      </w:r>
    </w:p>
    <w:p>
      <w:pPr>
        <w:pStyle w:val="Body"/>
        <w:spacing w:after="240"/>
        <w:jc w:val="left"/>
        <w:rPr>
          <w:rFonts w:ascii="Calibri" w:cs="Calibri" w:hAnsi="Calibri" w:eastAsia="Calibri"/>
          <w:sz w:val="22"/>
          <w:szCs w:val="22"/>
          <w:shd w:val="clear" w:color="auto" w:fill="ffff00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applicant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contact details are below:</w:t>
      </w:r>
    </w:p>
    <w:p>
      <w:pPr>
        <w:pStyle w:val="Body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${ManufacturerContact}</w:t>
      </w:r>
    </w:p>
    <w:p>
      <w:pPr>
        <w:pStyle w:val="Body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</w:rPr>
        <w:t xml:space="preserve">Email: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"mailto:XXXXXX@XXXXXXX.XXXX"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XXXXXX@XXXXXXX.XXXX</w:t>
      </w:r>
      <w:r>
        <w:rPr/>
        <w:fldChar w:fldCharType="end" w:fldLock="0"/>
      </w:r>
    </w:p>
    <w:p>
      <w:pPr>
        <w:pStyle w:val="Body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HETAS have assessed the information provided and consider the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appliance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suitable for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exemption. Technical drawings and instructions have been provided along with a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test report/number of test reports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Details of the recommended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appliance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recommended conditions are provided in the attached schedule.</w:t>
      </w:r>
    </w:p>
    <w:p>
      <w:pPr>
        <w:pStyle w:val="Body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It is understood from </w:t>
      </w: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${Manufacturer}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that they are the manufacturers and that all appliances will be fitted with a mechanical stop to prevent closure beyond the </w:t>
      </w:r>
      <w:r>
        <w:rPr>
          <w:rFonts w:ascii="Calibri" w:hAnsi="Calibri"/>
          <w:sz w:val="22"/>
          <w:szCs w:val="22"/>
          <w:shd w:val="clear" w:color="auto" w:fill="ffff00"/>
          <w:rtl w:val="0"/>
        </w:rPr>
        <w:t>XX%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open position when sold into smoke control areas.</w:t>
      </w:r>
    </w:p>
    <w:p>
      <w:pPr>
        <w:pStyle w:val="Body"/>
        <w:spacing w:after="60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DEFRA Logo</w:t>
      </w:r>
    </w:p>
    <w:p>
      <w:pPr>
        <w:pStyle w:val="Normal (Web)"/>
        <w:spacing w:before="0" w:after="60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applicant has been made aware that Defra do not give permission for the Defra logo, or wording such as 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Defra approved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be used on commercial sites. This recommendation means that we are recommending that the Secretary of State specify [this product / these products / the product/s in the schedule to this letter] as exempted fireplace(s) under section 21 of the Clean Air Act 1993, it is not an endorsement of the products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features generally or indeed of your business as a whole. </w:t>
      </w:r>
    </w:p>
    <w:p>
      <w:pPr>
        <w:pStyle w:val="Normal (Web)"/>
        <w:spacing w:before="0" w:after="60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marketing purposes, the following details may however be used:</w:t>
      </w:r>
    </w:p>
    <w:p>
      <w:pPr>
        <w:pStyle w:val="Normal (Web)"/>
        <w:spacing w:before="0" w:after="240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burn non-authorised fuel on a stove, fire or fireplace in a smoke control area the appliance installed must have been specified as an exempt fireplace and the conditions of exemption must permit the use of that fuel with the appliance.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(insert product details) is exempt from the provisions of section 20 of the Clean Air Act 1993 subject to the following conditions (insert conditions).</w:t>
      </w:r>
    </w:p>
    <w:p>
      <w:pPr>
        <w:pStyle w:val="Body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information the cost to the applicant for the assessment of these appliances was a total of 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£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14:textFill>
            <w14:solidFill>
              <w14:srgbClr w14:val="000000"/>
            </w14:solidFill>
          </w14:textFill>
        </w:rPr>
        <w:t>XXXX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+VAT.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emissions from the appliance are detailed in the table below:</w:t>
      </w:r>
    </w:p>
    <w:tbl>
      <w:tblPr>
        <w:tblW w:w="843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6"/>
        <w:gridCol w:w="1406"/>
        <w:gridCol w:w="1406"/>
        <w:gridCol w:w="1406"/>
        <w:gridCol w:w="1406"/>
        <w:gridCol w:w="1406"/>
      </w:tblGrid>
      <w:tr>
        <w:tblPrEx>
          <w:shd w:val="clear" w:color="auto" w:fill="ced7e7"/>
        </w:tblPrEx>
        <w:trPr>
          <w:trHeight w:val="903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outline w:val="0"/>
                <w:color w:val="ffffff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Appliance</w:t>
            </w:r>
          </w:p>
          <w:p>
            <w:pPr>
              <w:pStyle w:val="Body"/>
              <w:spacing w:before="60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Rated Output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-Rated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Rated Output (g/GJ)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 Low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Low Output (g/GJ)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3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4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60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XX</w:t>
            </w:r>
          </w:p>
        </w:tc>
      </w:tr>
    </w:tbl>
    <w:p>
      <w:pPr>
        <w:pStyle w:val="Body"/>
        <w:widowControl w:val="0"/>
        <w:jc w:val="center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 you have any questions relating to the recommendation of the appliances, please do not hesitate to contact me.</w:t>
      </w:r>
    </w:p>
    <w:p>
      <w:pPr>
        <w:pStyle w:val="Body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Yours faithfully</w:t>
      </w:r>
    </w:p>
    <w:p>
      <w:pPr>
        <w:pStyle w:val="Body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${DataEntryUser}</w:t>
      </w: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HETAS Environmental Team</w:t>
      </w:r>
    </w:p>
    <w:p>
      <w:pPr>
        <w:pStyle w:val="Body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CC: Defra, Devolved Administrations of Scotland, Wales and Northern Ireland and the applicant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  <w:ind w:left="578" w:firstLine="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1440" w:bottom="1134" w:left="1440" w:header="170" w:footer="510"/>
          <w:titlePg w:val="1"/>
          <w:bidi w:val="0"/>
        </w:sectPr>
      </w:pPr>
    </w:p>
    <w:p>
      <w:pPr>
        <w:pStyle w:val="Heading 2"/>
        <w:ind w:left="578" w:firstLine="0"/>
        <w:rPr>
          <w:rFonts w:ascii="Verdana" w:cs="Verdana" w:hAnsi="Verdana" w:eastAsia="Verdan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Appliance Schedule</w:t>
      </w:r>
    </w:p>
    <w:p>
      <w:pPr>
        <w:pStyle w:val="Body"/>
        <w:ind w:left="426" w:firstLine="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86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0"/>
        <w:gridCol w:w="3446"/>
        <w:gridCol w:w="2585"/>
      </w:tblGrid>
      <w:tr>
        <w:tblPrEx>
          <w:shd w:val="clear" w:color="auto" w:fill="4f81bd"/>
        </w:tblPrEx>
        <w:trPr>
          <w:trHeight w:val="649" w:hRule="atLeast"/>
          <w:tblHeader/>
        </w:trPr>
        <w:tc>
          <w:tcPr>
            <w:tcW w:type="dxa" w:w="2620"/>
            <w:vMerge w:val="restart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ind w:firstLine="426"/>
            </w:pPr>
            <w:r>
              <w:rPr>
                <w:shd w:val="nil" w:color="auto" w:fill="auto"/>
                <w:rtl w:val="0"/>
                <w:lang w:val="en-US"/>
              </w:rPr>
              <w:t>Fireplace</w:t>
            </w:r>
          </w:p>
        </w:tc>
        <w:tc>
          <w:tcPr>
            <w:tcW w:type="dxa" w:w="6031"/>
            <w:gridSpan w:val="2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Conditions</w:t>
            </w:r>
          </w:p>
        </w:tc>
      </w:tr>
      <w:tr>
        <w:tblPrEx>
          <w:shd w:val="clear" w:color="auto" w:fill="4f81bd"/>
        </w:tblPrEx>
        <w:trPr>
          <w:trHeight w:val="881" w:hRule="atLeast"/>
          <w:tblHeader/>
        </w:trPr>
        <w:tc>
          <w:tcPr>
            <w:tcW w:type="dxa" w:w="2620"/>
            <w:vMerge w:val="continue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shd w:val="nil" w:color="auto" w:fill="auto"/>
                <w:rtl w:val="0"/>
                <w:lang w:val="en-US"/>
              </w:rPr>
              <w:t>The fireplace must be installed, maintained and operated in accordance with the following specifications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shd w:val="nil" w:color="auto" w:fill="auto"/>
                <w:rtl w:val="0"/>
                <w:lang w:val="en-US"/>
              </w:rPr>
              <w:t>Permitted fuel</w:t>
            </w:r>
          </w:p>
        </w:tc>
      </w:tr>
      <w:tr>
        <w:tblPrEx>
          <w:shd w:val="clear" w:color="auto" w:fill="ced7e7"/>
        </w:tblPrEx>
        <w:trPr>
          <w:trHeight w:val="1531" w:hRule="atLeast"/>
        </w:trPr>
        <w:tc>
          <w:tcPr>
            <w:tcW w:type="dxa" w:w="26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shd w:val="clear" w:color="auto" w:fill="ffff00"/>
                <w:rtl w:val="0"/>
                <w:lang w:val="en-US"/>
              </w:rPr>
              <w:t>${ApplianceName}</w:t>
            </w:r>
            <w:r>
              <w:rPr>
                <w:shd w:val="nil" w:color="auto" w:fill="auto"/>
                <w:rtl w:val="0"/>
                <w:lang w:val="en-US"/>
              </w:rPr>
              <w:t xml:space="preserve"> manufactured by </w:t>
            </w:r>
            <w:r>
              <w:rPr>
                <w:shd w:val="clear" w:color="auto" w:fill="ffff00"/>
                <w:rtl w:val="0"/>
                <w:lang w:val="en-US"/>
              </w:rPr>
              <w:t>${ManufacturerContact}</w:t>
            </w:r>
            <w:r>
              <w:rPr>
                <w:shd w:val="nil" w:color="auto" w:fill="auto"/>
              </w:rPr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rtl w:val="0"/>
                <w:lang w:val="en-US"/>
              </w:rPr>
              <w:t>${Instructions}</w:t>
            </w:r>
          </w:p>
          <w:p>
            <w:pPr>
              <w:pStyle w:val="Body"/>
              <w:jc w:val="lef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rtl w:val="0"/>
                <w:lang w:val="en-US"/>
              </w:rPr>
              <w:t>${</w:t>
            </w:r>
            <w:r>
              <w:rPr>
                <w:shd w:val="clear" w:color="auto" w:fill="ffff00"/>
                <w:rtl w:val="0"/>
                <w:lang w:val="en-US"/>
              </w:rPr>
              <w:t>ServiceInstallation</w:t>
            </w:r>
            <w:r>
              <w:rPr>
                <w:shd w:val="clear" w:color="auto" w:fill="ffff00"/>
                <w:rtl w:val="0"/>
                <w:lang w:val="en-US"/>
              </w:rPr>
              <w:t>}</w:t>
            </w:r>
          </w:p>
          <w:p>
            <w:pPr>
              <w:pStyle w:val="Body"/>
              <w:jc w:val="left"/>
            </w:pPr>
            <w:r>
              <w:rPr>
                <w:shd w:val="clear" w:color="auto" w:fill="ffff00"/>
                <w:rtl w:val="0"/>
                <w:lang w:val="en-US"/>
              </w:rPr>
              <w:t>${Conditions}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shd w:val="clear" w:color="auto" w:fill="ffff00"/>
                <w:rtl w:val="0"/>
                <w:lang w:val="en-US"/>
              </w:rPr>
              <w:t>${PermittedFuels}</w:t>
            </w:r>
          </w:p>
        </w:tc>
      </w:tr>
    </w:tbl>
    <w:p>
      <w:pPr>
        <w:pStyle w:val="Body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left"/>
        <w:rPr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(1) </w:t>
      </w:r>
      <w:r>
        <w:rPr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fuel must not contain halogenated organic compounds or heavy metals as a result of treatment with wood-preservatives or coatings.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/>
    </w:p>
    <w:sectPr>
      <w:headerReference w:type="default" r:id="rId8"/>
      <w:pgSz w:w="11900" w:h="16840" w:orient="portrait"/>
      <w:pgMar w:top="1440" w:right="1440" w:bottom="1440" w:left="1440" w:header="170" w:footer="51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leo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 Letter Footer Address"/>
      <w:tabs>
        <w:tab w:val="left" w:pos="4536"/>
      </w:tabs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9027795</wp:posOffset>
              </wp:positionV>
              <wp:extent cx="2072005" cy="1462406"/>
              <wp:effectExtent l="0" t="0" r="0" b="0"/>
              <wp:wrapNone/>
              <wp:docPr id="1073741827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05" cy="1462406"/>
                        <a:chOff x="0" y="0"/>
                        <a:chExt cx="2072004" cy="1462405"/>
                      </a:xfrm>
                    </wpg:grpSpPr>
                    <wps:wsp>
                      <wps:cNvPr id="1073741825" name="Rectangle"/>
                      <wps:cNvSpPr/>
                      <wps:spPr>
                        <a:xfrm>
                          <a:off x="0" y="0"/>
                          <a:ext cx="2072005" cy="14624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2005" cy="1462406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419.2pt;margin-top:710.8pt;width:163.1pt;height:11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072005,1462405">
              <w10:wrap type="none" side="bothSides" anchorx="page" anchory="page"/>
              <v:rect id="_x0000_s1027" style="position:absolute;left:0;top:0;width:2072005;height:146240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0;width:2072005;height:1462405;">
                <v:imagedata r:id="rId1" o:title="image1.png"/>
              </v:shape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72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5457825</wp:posOffset>
              </wp:positionH>
              <wp:positionV relativeFrom="page">
                <wp:posOffset>247650</wp:posOffset>
              </wp:positionV>
              <wp:extent cx="1498838" cy="1123950"/>
              <wp:effectExtent l="0" t="0" r="0" b="0"/>
              <wp:wrapNone/>
              <wp:docPr id="1073741830" name="officeArt object" descr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8838" cy="1123950"/>
                        <a:chOff x="0" y="0"/>
                        <a:chExt cx="1498837" cy="1123950"/>
                      </a:xfrm>
                    </wpg:grpSpPr>
                    <wps:wsp>
                      <wps:cNvPr id="1073741828" name="Rectangle"/>
                      <wps:cNvSpPr/>
                      <wps:spPr>
                        <a:xfrm>
                          <a:off x="0" y="0"/>
                          <a:ext cx="1498838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2.png" descr="image2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838" cy="112395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429.8pt;margin-top:19.5pt;width:118.0pt;height:88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498838,1123950">
              <w10:wrap type="none" side="bothSides" anchorx="page" anchory="page"/>
              <v:rect id="_x0000_s1030" style="position:absolute;left:0;top:0;width:1498838;height:11239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1" type="#_x0000_t75" style="position:absolute;left:0;top:0;width:1498838;height:1123950;">
                <v:imagedata r:id="rId1" o:title="image2.png"/>
              </v:shape>
            </v:group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9003030</wp:posOffset>
              </wp:positionV>
              <wp:extent cx="2072005" cy="1462406"/>
              <wp:effectExtent l="0" t="0" r="0" b="0"/>
              <wp:wrapNone/>
              <wp:docPr id="1073741833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05" cy="1462406"/>
                        <a:chOff x="0" y="0"/>
                        <a:chExt cx="2072004" cy="1462405"/>
                      </a:xfrm>
                    </wpg:grpSpPr>
                    <wps:wsp>
                      <wps:cNvPr id="1073741831" name="Rectangle"/>
                      <wps:cNvSpPr/>
                      <wps:spPr>
                        <a:xfrm>
                          <a:off x="0" y="0"/>
                          <a:ext cx="2072005" cy="14624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2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2005" cy="1462406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2" style="visibility:visible;position:absolute;margin-left:419.2pt;margin-top:708.9pt;width:163.1pt;height:115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072005,1462405">
              <w10:wrap type="none" side="bothSides" anchorx="page" anchory="page"/>
              <v:rect id="_x0000_s1033" style="position:absolute;left:0;top:0;width:2072005;height:146240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4" type="#_x0000_t75" style="position:absolute;left:0;top:0;width:2072005;height:1462405;">
                <v:imagedata r:id="rId2" o:title="image1.png"/>
              </v:shape>
            </v:group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9027794</wp:posOffset>
              </wp:positionV>
              <wp:extent cx="2072005" cy="1462406"/>
              <wp:effectExtent l="0" t="0" r="0" b="0"/>
              <wp:wrapNone/>
              <wp:docPr id="1073741836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05" cy="1462406"/>
                        <a:chOff x="0" y="0"/>
                        <a:chExt cx="2072004" cy="1462405"/>
                      </a:xfrm>
                    </wpg:grpSpPr>
                    <wps:wsp>
                      <wps:cNvPr id="1073741834" name="Rectangle"/>
                      <wps:cNvSpPr/>
                      <wps:spPr>
                        <a:xfrm>
                          <a:off x="0" y="0"/>
                          <a:ext cx="2072005" cy="14624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5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2005" cy="1462406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5" style="visibility:visible;position:absolute;margin-left:419.2pt;margin-top:710.8pt;width:163.1pt;height:11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072005,1462405">
              <w10:wrap type="none" side="bothSides" anchorx="page" anchory="page"/>
              <v:rect id="_x0000_s1036" style="position:absolute;left:0;top:0;width:2072005;height:146240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7" type="#_x0000_t75" style="position:absolute;left:0;top:0;width:2072005;height:1462405;">
                <v:imagedata r:id="rId1" o:title="image1.png"/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 Letter Footer Address">
    <w:name w:val="R Letter Footer Address"/>
    <w:next w:val="R Letter Footer 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99999"/>
      <w:spacing w:val="0"/>
      <w:kern w:val="0"/>
      <w:position w:val="0"/>
      <w:sz w:val="14"/>
      <w:szCs w:val="14"/>
      <w:u w:val="none" w:color="999999"/>
      <w:shd w:val="nil" w:color="auto" w:fill="auto"/>
      <w:vertAlign w:val="baseline"/>
      <w14:textFill>
        <w14:solidFill>
          <w14:srgbClr w14:val="999999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QA-Page">
    <w:name w:val="QA-Page"/>
    <w:next w:val="QA-Page"/>
    <w:pPr>
      <w:keepNext w:val="0"/>
      <w:keepLines w:val="0"/>
      <w:pageBreakBefore w:val="0"/>
      <w:widowControl w:val="1"/>
      <w:shd w:val="clear" w:color="auto" w:fill="auto"/>
      <w:tabs>
        <w:tab w:val="left" w:pos="2366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hd w:val="nil" w:color="auto" w:fill="auto"/>
      <w:lang w:val="en-US"/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sz w:val="22"/>
      <w:szCs w:val="22"/>
      <w:shd w:val="clear" w:color="auto" w:fill="ffff00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6bb7"/>
      <w:spacing w:val="0"/>
      <w:kern w:val="0"/>
      <w:position w:val="0"/>
      <w:sz w:val="32"/>
      <w:szCs w:val="32"/>
      <w:u w:val="none" w:color="006bb7"/>
      <w:shd w:val="nil" w:color="auto" w:fill="auto"/>
      <w:vertAlign w:val="baseline"/>
      <w14:textOutline>
        <w14:noFill/>
      </w14:textOutline>
      <w14:textFill>
        <w14:solidFill>
          <w14:srgbClr w14:val="006BB7"/>
        </w14:solidFill>
      </w14:textFill>
    </w:rPr>
  </w:style>
  <w:style w:type="paragraph" w:styleId="ColumnHeader">
    <w:name w:val="ColumnHeader"/>
    <w:next w:val="Column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