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0322"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4"/>
        <w:gridCol w:w="4458"/>
      </w:tblGrid>
      <w:tr>
        <w:tblPrEx>
          <w:shd w:val="clear" w:color="auto" w:fill="ced7e7"/>
        </w:tblPrEx>
        <w:trPr>
          <w:trHeight w:val="4173" w:hRule="exact"/>
        </w:trPr>
        <w:tc>
          <w:tcPr>
            <w:tcW w:type="dxa" w:w="5864"/>
            <w:tcBorders>
              <w:top w:val="nil"/>
              <w:left w:val="nil"/>
              <w:bottom w:val="nil"/>
              <w:right w:val="nil"/>
            </w:tcBorders>
            <w:shd w:val="clear" w:color="auto" w:fill="auto"/>
            <w:tcMar>
              <w:top w:type="dxa" w:w="80"/>
              <w:left w:type="dxa" w:w="80"/>
              <w:bottom w:type="dxa" w:w="80"/>
              <w:right w:type="dxa" w:w="80"/>
            </w:tcMar>
            <w:vAlign w:val="top"/>
          </w:tcPr>
          <w:p>
            <w:pPr>
              <w:pStyle w:val="QA-Page"/>
              <w:widowControl w:val="1"/>
              <w:suppressAutoHyphens w:val="0"/>
              <w:rPr>
                <w:rFonts w:ascii="Calibri" w:cs="Calibri" w:hAnsi="Calibri" w:eastAsia="Calibri"/>
                <w:sz w:val="22"/>
                <w:szCs w:val="22"/>
                <w:shd w:val="nil" w:color="auto" w:fill="auto"/>
              </w:rPr>
            </w:pPr>
            <w:r>
              <w:rPr>
                <w:rFonts w:ascii="Calibri" w:hAnsi="Calibri"/>
                <w:sz w:val="22"/>
                <w:szCs w:val="22"/>
                <w:shd w:val="nil" w:color="auto" w:fill="auto"/>
                <w:rtl w:val="0"/>
                <w:lang w:val="en-US"/>
              </w:rPr>
              <w:t>Hilary Brown</w:t>
            </w:r>
          </w:p>
          <w:p>
            <w:pPr>
              <w:pStyle w:val="QA-Page"/>
              <w:widowControl w:val="1"/>
              <w:suppressAutoHyphens w:val="0"/>
              <w:bidi w:val="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 xml:space="preserve">Policy Advisor </w:t>
            </w:r>
          </w:p>
          <w:p>
            <w:pPr>
              <w:pStyle w:val="QA-Page"/>
              <w:widowControl w:val="1"/>
              <w:suppressAutoHyphens w:val="0"/>
              <w:bidi w:val="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 xml:space="preserve">Air Quality and Combustion </w:t>
            </w:r>
          </w:p>
          <w:p>
            <w:pPr>
              <w:pStyle w:val="QA-Page"/>
              <w:widowControl w:val="1"/>
              <w:suppressAutoHyphens w:val="0"/>
              <w:bidi w:val="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Resource, Atmosphere and Sustainability</w:t>
            </w:r>
          </w:p>
          <w:p>
            <w:pPr>
              <w:pStyle w:val="QA-Page"/>
              <w:widowControl w:val="1"/>
              <w:suppressAutoHyphens w:val="0"/>
              <w:bidi w:val="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 xml:space="preserve">Department for Environment, Food and Rural Affairs </w:t>
            </w:r>
          </w:p>
          <w:p>
            <w:pPr>
              <w:pStyle w:val="QA-Page"/>
              <w:widowControl w:val="1"/>
              <w:suppressAutoHyphens w:val="0"/>
              <w:bidi w:val="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 xml:space="preserve">Area 2C, </w:t>
            </w:r>
          </w:p>
          <w:p>
            <w:pPr>
              <w:pStyle w:val="QA-Page"/>
              <w:widowControl w:val="1"/>
              <w:suppressAutoHyphens w:val="0"/>
              <w:bidi w:val="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 xml:space="preserve">Nobel House, </w:t>
            </w:r>
          </w:p>
          <w:p>
            <w:pPr>
              <w:pStyle w:val="QA-Page"/>
              <w:widowControl w:val="1"/>
              <w:suppressAutoHyphens w:val="0"/>
              <w:bidi w:val="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 xml:space="preserve">17 Smith Square, </w:t>
            </w:r>
          </w:p>
          <w:p>
            <w:pPr>
              <w:pStyle w:val="QA-Page"/>
              <w:widowControl w:val="1"/>
              <w:suppressAutoHyphens w:val="0"/>
              <w:bidi w:val="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 xml:space="preserve">London, </w:t>
            </w:r>
          </w:p>
          <w:p>
            <w:pPr>
              <w:pStyle w:val="QA-Page"/>
              <w:widowControl w:val="1"/>
              <w:suppressAutoHyphens w:val="0"/>
              <w:bidi w:val="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SW1P 3JR</w:t>
            </w:r>
          </w:p>
          <w:p>
            <w:pPr>
              <w:pStyle w:val="Normal.0"/>
              <w:rPr>
                <w:rFonts w:ascii="Calibri" w:cs="Calibri" w:hAnsi="Calibri" w:eastAsia="Calibri"/>
                <w:sz w:val="22"/>
                <w:szCs w:val="22"/>
                <w:shd w:val="nil" w:color="auto" w:fill="auto"/>
                <w:lang w:val="en-US"/>
              </w:rPr>
            </w:pPr>
          </w:p>
          <w:p>
            <w:pPr>
              <w:pStyle w:val="Normal.0"/>
              <w:rPr>
                <w:rFonts w:ascii="Calibri" w:cs="Calibri" w:hAnsi="Calibri" w:eastAsia="Calibri"/>
                <w:sz w:val="22"/>
                <w:szCs w:val="22"/>
                <w:shd w:val="nil" w:color="auto" w:fill="auto"/>
                <w:lang w:val="en-US"/>
              </w:rPr>
            </w:pPr>
          </w:p>
          <w:p>
            <w:pPr>
              <w:pStyle w:val="Normal.0"/>
              <w:rPr>
                <w:rFonts w:ascii="Calibri" w:cs="Calibri" w:hAnsi="Calibri" w:eastAsia="Calibri"/>
                <w:sz w:val="22"/>
                <w:szCs w:val="22"/>
                <w:shd w:val="nil" w:color="auto" w:fill="auto"/>
                <w:lang w:val="en-US"/>
              </w:rPr>
            </w:pPr>
          </w:p>
          <w:p>
            <w:pPr>
              <w:pStyle w:val="Normal.0"/>
              <w:rPr>
                <w:rFonts w:ascii="Calibri" w:cs="Calibri" w:hAnsi="Calibri" w:eastAsia="Calibri"/>
                <w:sz w:val="22"/>
                <w:szCs w:val="22"/>
                <w:shd w:val="nil" w:color="auto" w:fill="auto"/>
                <w:lang w:val="en-US"/>
              </w:rPr>
            </w:pPr>
          </w:p>
          <w:p>
            <w:pPr>
              <w:pStyle w:val="Normal.0"/>
              <w:bidi w:val="0"/>
              <w:ind w:left="0" w:right="0" w:firstLine="0"/>
              <w:jc w:val="left"/>
              <w:rPr>
                <w:rtl w:val="0"/>
              </w:rPr>
            </w:pPr>
            <w:r>
              <w:rPr>
                <w:rFonts w:ascii="Calibri" w:hAnsi="Calibri"/>
                <w:sz w:val="22"/>
                <w:szCs w:val="22"/>
                <w:shd w:val="nil" w:color="auto" w:fill="auto"/>
                <w:rtl w:val="0"/>
                <w:lang w:val="en-US"/>
              </w:rPr>
              <w:t xml:space="preserve">Date:  </w:t>
            </w:r>
            <w:r>
              <w:rPr>
                <w:rFonts w:ascii="Calibri" w:hAnsi="Calibri"/>
                <w:sz w:val="22"/>
                <w:szCs w:val="22"/>
                <w:shd w:val="clear" w:color="auto" w:fill="ffff00"/>
                <w:rtl w:val="0"/>
                <w:lang w:val="en-US"/>
              </w:rPr>
              <w:t>${TodayDate</w:t>
            </w:r>
            <w:r>
              <w:rPr>
                <w:rFonts w:ascii="Arial" w:hAnsi="Arial"/>
                <w:sz w:val="22"/>
                <w:szCs w:val="22"/>
                <w:shd w:val="clear" w:color="auto" w:fill="ffff00"/>
                <w:rtl w:val="0"/>
                <w:lang w:val="en-US"/>
              </w:rPr>
              <w:t>}</w:t>
            </w:r>
          </w:p>
        </w:tc>
        <w:tc>
          <w:tcPr>
            <w:tcW w:type="dxa" w:w="4458"/>
            <w:tcBorders>
              <w:top w:val="nil"/>
              <w:left w:val="nil"/>
              <w:bottom w:val="nil"/>
              <w:right w:val="nil"/>
            </w:tcBorders>
            <w:shd w:val="clear" w:color="auto" w:fill="auto"/>
            <w:tcMar>
              <w:top w:type="dxa" w:w="80"/>
              <w:left w:type="dxa" w:w="80"/>
              <w:bottom w:type="dxa" w:w="80"/>
              <w:right w:type="dxa" w:w="80"/>
            </w:tcMar>
            <w:vAlign w:val="top"/>
          </w:tcPr>
          <w:p/>
        </w:tc>
      </w:tr>
    </w:tbl>
    <w:p>
      <w:pPr>
        <w:pStyle w:val="Normal.0"/>
        <w:ind w:left="324" w:hanging="324"/>
      </w:pPr>
    </w:p>
    <w:p>
      <w:pPr>
        <w:pStyle w:val="Normal.0"/>
        <w:ind w:left="216" w:hanging="216"/>
      </w:pPr>
    </w:p>
    <w:p>
      <w:pPr>
        <w:pStyle w:val="Normal.0"/>
        <w:ind w:left="108" w:hanging="108"/>
      </w:pPr>
    </w:p>
    <w:p>
      <w:pPr>
        <w:pStyle w:val="Normal.0"/>
      </w:pPr>
    </w:p>
    <w:p>
      <w:pPr>
        <w:pStyle w:val="Normal.0"/>
        <w:rPr>
          <w:rFonts w:ascii="Calibri" w:cs="Calibri" w:hAnsi="Calibri" w:eastAsia="Calibri"/>
          <w:b w:val="1"/>
          <w:bCs w:val="1"/>
          <w:kern w:val="0"/>
          <w:sz w:val="20"/>
          <w:szCs w:val="20"/>
        </w:rPr>
      </w:pPr>
      <w:r>
        <w:rPr>
          <w:rFonts w:ascii="Calibri" w:hAnsi="Calibri"/>
          <w:b w:val="1"/>
          <w:bCs w:val="1"/>
          <w:sz w:val="22"/>
          <w:szCs w:val="22"/>
          <w:rtl w:val="0"/>
          <w:lang w:val="en-US"/>
        </w:rPr>
        <w:t xml:space="preserve">Re: </w:t>
      </w:r>
      <w:r>
        <w:rPr>
          <w:rFonts w:ascii="Calibri" w:hAnsi="Calibri"/>
          <w:b w:val="1"/>
          <w:bCs w:val="1"/>
          <w:sz w:val="22"/>
          <w:szCs w:val="22"/>
          <w:shd w:val="clear" w:color="auto" w:fill="ffff00"/>
          <w:rtl w:val="0"/>
          <w:lang w:val="en-US"/>
        </w:rPr>
        <w:t>${ApplicationNumber}</w:t>
      </w:r>
      <w:r>
        <w:rPr>
          <w:rFonts w:ascii="Calibri" w:hAnsi="Calibri"/>
          <w:b w:val="1"/>
          <w:bCs w:val="1"/>
          <w:sz w:val="22"/>
          <w:szCs w:val="22"/>
          <w:rtl w:val="0"/>
          <w:lang w:val="en-US"/>
        </w:rPr>
        <w:t>/Recommendation/</w:t>
      </w:r>
      <w:r>
        <w:rPr>
          <w:rFonts w:ascii="Calibri" w:hAnsi="Calibri"/>
          <w:b w:val="1"/>
          <w:bCs w:val="1"/>
          <w:sz w:val="22"/>
          <w:szCs w:val="22"/>
          <w:shd w:val="clear" w:color="auto" w:fill="ffff00"/>
          <w:rtl w:val="0"/>
          <w:lang w:val="en-US"/>
        </w:rPr>
        <w:t>${Manufacturer}</w:t>
      </w:r>
      <w:r>
        <w:rPr>
          <w:rFonts w:ascii="Calibri" w:hAnsi="Calibri"/>
          <w:b w:val="1"/>
          <w:bCs w:val="1"/>
          <w:outline w:val="0"/>
          <w:color w:val="000000"/>
          <w:sz w:val="22"/>
          <w:szCs w:val="22"/>
          <w:u w:color="000000"/>
          <w:rtl w:val="0"/>
          <w:lang w:val="en-US"/>
          <w14:textFill>
            <w14:solidFill>
              <w14:srgbClr w14:val="000000"/>
            </w14:solidFill>
          </w14:textFill>
        </w:rPr>
        <w:t xml:space="preserve"> </w:t>
      </w:r>
      <w:r>
        <w:rPr>
          <w:rFonts w:ascii="Calibri" w:hAnsi="Calibri"/>
          <w:b w:val="1"/>
          <w:bCs w:val="1"/>
          <w:sz w:val="22"/>
          <w:szCs w:val="22"/>
          <w:rtl w:val="0"/>
          <w:lang w:val="en-US"/>
        </w:rPr>
        <w:t>/Issue1</w:t>
      </w:r>
    </w:p>
    <w:p>
      <w:pPr>
        <w:pStyle w:val="Normal.0"/>
        <w:rPr>
          <w:rFonts w:ascii="Calibri" w:cs="Calibri" w:hAnsi="Calibri" w:eastAsia="Calibri"/>
          <w:b w:val="1"/>
          <w:bCs w:val="1"/>
          <w:sz w:val="22"/>
          <w:szCs w:val="22"/>
        </w:rPr>
      </w:pPr>
    </w:p>
    <w:p>
      <w:pPr>
        <w:pStyle w:val="Normal.0"/>
        <w:rPr>
          <w:rFonts w:ascii="Calibri" w:cs="Calibri" w:hAnsi="Calibri" w:eastAsia="Calibri"/>
          <w:sz w:val="22"/>
          <w:szCs w:val="22"/>
        </w:rPr>
      </w:pPr>
      <w:r>
        <w:rPr>
          <w:rFonts w:ascii="Calibri" w:hAnsi="Calibri"/>
          <w:sz w:val="22"/>
          <w:szCs w:val="22"/>
          <w:rtl w:val="0"/>
          <w:lang w:val="en-US"/>
        </w:rPr>
        <w:t>Dear Hilary,</w:t>
      </w:r>
    </w:p>
    <w:p>
      <w:pPr>
        <w:pStyle w:val="Letter Title"/>
        <w:tabs>
          <w:tab w:val="left" w:pos="9480"/>
        </w:tabs>
        <w:rPr>
          <w:sz w:val="22"/>
          <w:szCs w:val="22"/>
        </w:rPr>
      </w:pPr>
      <w:r>
        <w:rPr>
          <w:sz w:val="22"/>
          <w:szCs w:val="22"/>
          <w:rtl w:val="0"/>
          <w:lang w:val="en-US"/>
        </w:rPr>
        <w:t xml:space="preserve">Recommendation FOR Fuel Authorisation under section 20 of the Clean Air act and Statutory instrument 2020 No. 1095 for England </w:t>
        <w:tab/>
      </w:r>
    </w:p>
    <w:p>
      <w:pPr>
        <w:pStyle w:val="Normal.0"/>
        <w:rPr>
          <w:rFonts w:ascii="Calibri" w:cs="Calibri" w:hAnsi="Calibri" w:eastAsia="Calibri"/>
          <w:sz w:val="22"/>
          <w:szCs w:val="22"/>
        </w:rPr>
      </w:pPr>
      <w:r>
        <w:rPr>
          <w:rFonts w:ascii="Calibri" w:hAnsi="Calibri"/>
          <w:sz w:val="22"/>
          <w:szCs w:val="22"/>
          <w:rtl w:val="0"/>
          <w:lang w:val="en-US"/>
        </w:rPr>
        <w:t>${Manufacturer} have applied for the authorisation of XX fuel(s). The fuel is detailed below:</w:t>
      </w:r>
    </w:p>
    <w:p>
      <w:pPr>
        <w:pStyle w:val="Normal.0"/>
        <w:rPr>
          <w:rFonts w:ascii="Calibri" w:cs="Calibri" w:hAnsi="Calibri" w:eastAsia="Calibri"/>
          <w:sz w:val="22"/>
          <w:szCs w:val="22"/>
        </w:rPr>
      </w:pPr>
    </w:p>
    <w:p>
      <w:pPr>
        <w:pStyle w:val="Normal.0"/>
        <w:rPr>
          <w:rFonts w:ascii="Calibri" w:cs="Calibri" w:hAnsi="Calibri" w:eastAsia="Calibri"/>
          <w:sz w:val="22"/>
          <w:szCs w:val="22"/>
        </w:rPr>
      </w:pPr>
      <w:r>
        <w:rPr>
          <w:rFonts w:ascii="Calibri" w:hAnsi="Calibri"/>
          <w:sz w:val="22"/>
          <w:szCs w:val="22"/>
          <w:rtl w:val="0"/>
          <w:lang w:val="en-US"/>
        </w:rPr>
        <w:t>${FuelName}  (ready to Burn certificate number MSF${</w:t>
      </w:r>
      <w:r>
        <w:rPr>
          <w:rFonts w:ascii="Calibri" w:hAnsi="Calibri"/>
          <w:sz w:val="22"/>
          <w:szCs w:val="22"/>
          <w:rtl w:val="0"/>
          <w:lang w:val="en-US"/>
        </w:rPr>
        <w:t>FuelID</w:t>
      </w:r>
      <w:r>
        <w:rPr>
          <w:rFonts w:ascii="Calibri" w:hAnsi="Calibri"/>
          <w:sz w:val="22"/>
          <w:szCs w:val="22"/>
          <w:rtl w:val="0"/>
          <w:lang w:val="en-US"/>
        </w:rPr>
        <w:t>})</w:t>
      </w:r>
    </w:p>
    <w:p>
      <w:pPr>
        <w:pStyle w:val="Normal.0"/>
        <w:rPr>
          <w:rFonts w:ascii="Calibri" w:cs="Calibri" w:hAnsi="Calibri" w:eastAsia="Calibri"/>
          <w:sz w:val="22"/>
          <w:szCs w:val="22"/>
        </w:rPr>
      </w:pPr>
    </w:p>
    <w:p>
      <w:pPr>
        <w:pStyle w:val="Normal.0"/>
        <w:rPr>
          <w:rFonts w:ascii="Calibri" w:cs="Calibri" w:hAnsi="Calibri" w:eastAsia="Calibri"/>
          <w:sz w:val="22"/>
          <w:szCs w:val="22"/>
        </w:rPr>
      </w:pPr>
      <w:r>
        <w:rPr>
          <w:rFonts w:ascii="Calibri" w:hAnsi="Calibri"/>
          <w:sz w:val="22"/>
          <w:szCs w:val="22"/>
          <w:rtl w:val="0"/>
          <w:lang w:val="en-US"/>
        </w:rPr>
        <w:t>(N.B this is a branded version of authorised fuel ${FuelName}, Ready to Burn Certificate number MSF ${FuelID})</w:t>
      </w:r>
    </w:p>
    <w:p>
      <w:pPr>
        <w:pStyle w:val="Normal.0"/>
        <w:rPr>
          <w:rFonts w:ascii="Calibri" w:cs="Calibri" w:hAnsi="Calibri" w:eastAsia="Calibri"/>
          <w:sz w:val="22"/>
          <w:szCs w:val="22"/>
        </w:rPr>
      </w:pPr>
    </w:p>
    <w:p>
      <w:pPr>
        <w:pStyle w:val="Normal.0"/>
        <w:rPr>
          <w:rFonts w:ascii="Calibri" w:cs="Calibri" w:hAnsi="Calibri" w:eastAsia="Calibri"/>
          <w:sz w:val="22"/>
          <w:szCs w:val="22"/>
        </w:rPr>
      </w:pPr>
      <w:r>
        <w:rPr>
          <w:rFonts w:ascii="Calibri" w:hAnsi="Calibri"/>
          <w:sz w:val="22"/>
          <w:szCs w:val="22"/>
          <w:rtl w:val="0"/>
          <w:lang w:val="en-US"/>
        </w:rPr>
        <w:t xml:space="preserve">This approval is for the addition of the brand names given which are based on the original authorised fuels given in brackets above. </w:t>
      </w:r>
      <w:r>
        <w:rPr>
          <w:rFonts w:ascii="Calibri" w:hAnsi="Calibri"/>
          <w:b w:val="1"/>
          <w:bCs w:val="1"/>
          <w:outline w:val="0"/>
          <w:color w:val="000000"/>
          <w:sz w:val="22"/>
          <w:szCs w:val="22"/>
          <w:u w:color="000000"/>
          <w:shd w:val="clear" w:color="auto" w:fill="ffff00"/>
          <w:rtl w:val="0"/>
          <w:lang w:val="en-US"/>
          <w14:textFill>
            <w14:solidFill>
              <w14:srgbClr w14:val="000000"/>
            </w14:solidFill>
          </w14:textFill>
        </w:rPr>
        <w:t>${Manufacturer}</w:t>
      </w:r>
      <w:r>
        <w:rPr>
          <w:rFonts w:ascii="Calibri" w:hAnsi="Calibri"/>
          <w:b w:val="1"/>
          <w:bCs w:val="1"/>
          <w:outline w:val="0"/>
          <w:color w:val="000000"/>
          <w:sz w:val="22"/>
          <w:szCs w:val="22"/>
          <w:u w:color="000000"/>
          <w:rtl w:val="0"/>
          <w:lang w:val="en-US"/>
          <w14:textFill>
            <w14:solidFill>
              <w14:srgbClr w14:val="000000"/>
            </w14:solidFill>
          </w14:textFill>
        </w:rPr>
        <w:t xml:space="preserve"> </w:t>
      </w:r>
      <w:r>
        <w:rPr>
          <w:rFonts w:ascii="Calibri" w:hAnsi="Calibri"/>
          <w:sz w:val="22"/>
          <w:szCs w:val="22"/>
          <w:rtl w:val="0"/>
          <w:lang w:val="en-US"/>
        </w:rPr>
        <w:t xml:space="preserve">have confirmed to HETAS that the products are identical to the original manufactured products and are not altered physically or chemically in any way or blended with other fuels when bagged as the named brands. On this basis HETAS are satisfied that the fuels meet the requirements under the above regulations.  Manufactured fuels sold in England must display the Ready to Burn certification logo on packaging etc. in accordance with the requirements of regulation SI 2020 No. 1095 for England. </w:t>
      </w:r>
    </w:p>
    <w:p>
      <w:pPr>
        <w:pStyle w:val="Normal.0"/>
        <w:rPr>
          <w:rFonts w:ascii="Calibri" w:cs="Calibri" w:hAnsi="Calibri" w:eastAsia="Calibri"/>
          <w:sz w:val="22"/>
          <w:szCs w:val="22"/>
        </w:rPr>
      </w:pPr>
    </w:p>
    <w:p>
      <w:pPr>
        <w:pStyle w:val="Normal.0"/>
        <w:rPr>
          <w:rFonts w:ascii="Calibri" w:cs="Calibri" w:hAnsi="Calibri" w:eastAsia="Calibri"/>
          <w:sz w:val="22"/>
          <w:szCs w:val="22"/>
          <w:shd w:val="clear" w:color="auto" w:fill="ffff00"/>
        </w:rPr>
      </w:pPr>
      <w:r>
        <w:rPr>
          <w:rFonts w:ascii="Calibri" w:hAnsi="Calibri"/>
          <w:sz w:val="22"/>
          <w:szCs w:val="22"/>
          <w:rtl w:val="0"/>
          <w:lang w:val="en-US"/>
        </w:rPr>
        <w:t>The applicant</w:t>
      </w:r>
      <w:r>
        <w:rPr>
          <w:rFonts w:ascii="Calibri" w:hAnsi="Calibri" w:hint="default"/>
          <w:sz w:val="22"/>
          <w:szCs w:val="22"/>
          <w:rtl w:val="0"/>
          <w:lang w:val="en-US"/>
        </w:rPr>
        <w:t>’</w:t>
      </w:r>
      <w:r>
        <w:rPr>
          <w:rFonts w:ascii="Calibri" w:hAnsi="Calibri"/>
          <w:sz w:val="22"/>
          <w:szCs w:val="22"/>
          <w:rtl w:val="0"/>
          <w:lang w:val="en-US"/>
        </w:rPr>
        <w:t>s contact details are below:</w:t>
      </w:r>
    </w:p>
    <w:p>
      <w:pPr>
        <w:pStyle w:val="Normal.0"/>
        <w:rPr>
          <w:rFonts w:ascii="Calibri" w:cs="Calibri" w:hAnsi="Calibri" w:eastAsia="Calibri"/>
          <w:sz w:val="22"/>
          <w:szCs w:val="22"/>
        </w:rPr>
      </w:pPr>
    </w:p>
    <w:p>
      <w:pPr>
        <w:pStyle w:val="Normal.0"/>
        <w:rPr>
          <w:rFonts w:ascii="Calibri" w:cs="Calibri" w:hAnsi="Calibri" w:eastAsia="Calibri"/>
          <w:kern w:val="0"/>
          <w:sz w:val="22"/>
          <w:szCs w:val="22"/>
        </w:rPr>
      </w:pPr>
      <w:r>
        <w:rPr>
          <w:rFonts w:ascii="Calibri" w:hAnsi="Calibri"/>
          <w:sz w:val="22"/>
          <w:szCs w:val="22"/>
          <w:shd w:val="clear" w:color="auto" w:fill="ffff00"/>
          <w:rtl w:val="0"/>
          <w:lang w:val="en-US"/>
        </w:rPr>
        <w:t>${ManufacturerContact}</w:t>
      </w:r>
    </w:p>
    <w:p>
      <w:pPr>
        <w:pStyle w:val="Normal.0"/>
        <w:rPr>
          <w:rFonts w:ascii="Calibri" w:cs="Calibri" w:hAnsi="Calibri" w:eastAsia="Calibri"/>
          <w:sz w:val="22"/>
          <w:szCs w:val="22"/>
        </w:rPr>
      </w:pPr>
    </w:p>
    <w:p>
      <w:pPr>
        <w:pStyle w:val="Normal.0"/>
        <w:rPr>
          <w:rFonts w:ascii="Calibri" w:cs="Calibri" w:hAnsi="Calibri" w:eastAsia="Calibri"/>
          <w:sz w:val="22"/>
          <w:szCs w:val="22"/>
        </w:rPr>
      </w:pPr>
      <w:r>
        <w:rPr>
          <w:rFonts w:ascii="Calibri" w:hAnsi="Calibri"/>
          <w:sz w:val="22"/>
          <w:szCs w:val="22"/>
          <w:rtl w:val="0"/>
          <w:lang w:val="en-US"/>
        </w:rPr>
        <w:t xml:space="preserve">Email: </w:t>
      </w:r>
      <w:r>
        <w:rPr>
          <w:rFonts w:ascii="Calibri" w:hAnsi="Calibri"/>
          <w:sz w:val="22"/>
          <w:szCs w:val="22"/>
          <w:shd w:val="clear" w:color="auto" w:fill="ffff00"/>
          <w:rtl w:val="0"/>
          <w:lang w:val="en-US"/>
        </w:rPr>
        <w:t>XXXXXXXXXXXXXXXXXX</w:t>
      </w:r>
    </w:p>
    <w:p>
      <w:pPr>
        <w:pStyle w:val="Normal.0"/>
        <w:rPr>
          <w:rFonts w:ascii="Calibri" w:cs="Calibri" w:hAnsi="Calibri" w:eastAsia="Calibri"/>
          <w:sz w:val="22"/>
          <w:szCs w:val="22"/>
        </w:rPr>
      </w:pPr>
    </w:p>
    <w:p>
      <w:pPr>
        <w:pStyle w:val="Normal.0"/>
        <w:rPr>
          <w:rFonts w:ascii="Calibri" w:cs="Calibri" w:hAnsi="Calibri" w:eastAsia="Calibri"/>
          <w:b w:val="1"/>
          <w:bCs w:val="1"/>
          <w:sz w:val="22"/>
          <w:szCs w:val="22"/>
        </w:rPr>
      </w:pPr>
      <w:r>
        <w:rPr>
          <w:rFonts w:ascii="Calibri" w:hAnsi="Calibri"/>
          <w:b w:val="1"/>
          <w:bCs w:val="1"/>
          <w:sz w:val="22"/>
          <w:szCs w:val="22"/>
          <w:rtl w:val="0"/>
          <w:lang w:val="en-US"/>
        </w:rPr>
        <w:t>Logos</w:t>
      </w:r>
    </w:p>
    <w:p>
      <w:pPr>
        <w:pStyle w:val="Normal.0"/>
        <w:rPr>
          <w:rFonts w:ascii="Calibri" w:cs="Calibri" w:hAnsi="Calibri" w:eastAsia="Calibri"/>
          <w:sz w:val="22"/>
          <w:szCs w:val="22"/>
        </w:rPr>
      </w:pPr>
      <w:r>
        <w:rPr>
          <w:rFonts w:ascii="Calibri" w:hAnsi="Calibri"/>
          <w:sz w:val="22"/>
          <w:szCs w:val="22"/>
          <w:rtl w:val="0"/>
          <w:lang w:val="en-US"/>
        </w:rPr>
        <w:t xml:space="preserve">The applicant has been informed Defra do not give permission for the Defra logo, or wording such as </w:t>
      </w:r>
      <w:r>
        <w:rPr>
          <w:rFonts w:ascii="Calibri" w:hAnsi="Calibri" w:hint="default"/>
          <w:sz w:val="22"/>
          <w:szCs w:val="22"/>
          <w:rtl w:val="0"/>
          <w:lang w:val="en-US"/>
        </w:rPr>
        <w:t>‘</w:t>
      </w:r>
      <w:r>
        <w:rPr>
          <w:rFonts w:ascii="Calibri" w:hAnsi="Calibri"/>
          <w:sz w:val="22"/>
          <w:szCs w:val="22"/>
          <w:rtl w:val="0"/>
          <w:lang w:val="en-US"/>
        </w:rPr>
        <w:t>Defra approved</w:t>
      </w:r>
      <w:r>
        <w:rPr>
          <w:rFonts w:ascii="Calibri" w:hAnsi="Calibri" w:hint="default"/>
          <w:sz w:val="22"/>
          <w:szCs w:val="22"/>
          <w:rtl w:val="0"/>
          <w:lang w:val="en-US"/>
        </w:rPr>
        <w:t xml:space="preserve">’ </w:t>
      </w:r>
      <w:r>
        <w:rPr>
          <w:rFonts w:ascii="Calibri" w:hAnsi="Calibri"/>
          <w:sz w:val="22"/>
          <w:szCs w:val="22"/>
          <w:rtl w:val="0"/>
          <w:lang w:val="en-US"/>
        </w:rPr>
        <w:t xml:space="preserve">to be used on commercial sites. This recommendation means that we are recommending that the Secretary of State specify </w:t>
      </w:r>
      <w:r>
        <w:rPr>
          <w:rFonts w:ascii="Calibri" w:hAnsi="Calibri"/>
          <w:sz w:val="22"/>
          <w:szCs w:val="22"/>
          <w:shd w:val="clear" w:color="auto" w:fill="ffff00"/>
          <w:rtl w:val="0"/>
          <w:lang w:val="en-US"/>
        </w:rPr>
        <w:t>${FuelName}</w:t>
      </w:r>
      <w:r>
        <w:rPr>
          <w:rFonts w:ascii="Calibri" w:hAnsi="Calibri"/>
          <w:sz w:val="22"/>
          <w:szCs w:val="22"/>
          <w:rtl w:val="0"/>
          <w:lang w:val="en-US"/>
        </w:rPr>
        <w:t xml:space="preserve"> as authorised fuels under section 20 of the Clean Air Act 1993 and that they are certified with the Ready to Burn certification number MSF</w:t>
      </w:r>
      <w:r>
        <w:rPr>
          <w:rFonts w:ascii="Calibri" w:hAnsi="Calibri"/>
          <w:sz w:val="22"/>
          <w:szCs w:val="22"/>
          <w:shd w:val="clear" w:color="auto" w:fill="ffff00"/>
          <w:rtl w:val="0"/>
          <w:lang w:val="en-US"/>
        </w:rPr>
        <w:t>${FuelID}</w:t>
      </w:r>
      <w:r>
        <w:rPr>
          <w:rFonts w:ascii="Calibri" w:hAnsi="Calibri"/>
          <w:sz w:val="22"/>
          <w:szCs w:val="22"/>
          <w:rtl w:val="0"/>
          <w:lang w:val="en-US"/>
        </w:rPr>
        <w:t xml:space="preserve">  under regulation SI 2020 No. 1095 for England. It is not an endorsement of the products</w:t>
      </w:r>
      <w:r>
        <w:rPr>
          <w:rFonts w:ascii="Calibri" w:hAnsi="Calibri" w:hint="default"/>
          <w:sz w:val="22"/>
          <w:szCs w:val="22"/>
          <w:rtl w:val="0"/>
          <w:lang w:val="en-US"/>
        </w:rPr>
        <w:t xml:space="preserve">’ </w:t>
      </w:r>
      <w:r>
        <w:rPr>
          <w:rFonts w:ascii="Calibri" w:hAnsi="Calibri"/>
          <w:sz w:val="22"/>
          <w:szCs w:val="22"/>
          <w:rtl w:val="0"/>
          <w:lang w:val="en-US"/>
        </w:rPr>
        <w:t>features generally or indeed of your business as a whole. The applicant has been made aware that for marketing purposes the following details may however be used:</w:t>
      </w:r>
    </w:p>
    <w:p>
      <w:pPr>
        <w:pStyle w:val="Normal.0"/>
        <w:rPr>
          <w:rFonts w:ascii="Calibri" w:cs="Calibri" w:hAnsi="Calibri" w:eastAsia="Calibri"/>
          <w:sz w:val="22"/>
          <w:szCs w:val="22"/>
        </w:rPr>
      </w:pPr>
    </w:p>
    <w:p>
      <w:pPr>
        <w:pStyle w:val="Normal.0"/>
        <w:rPr>
          <w:rFonts w:ascii="Calibri" w:cs="Calibri" w:hAnsi="Calibri" w:eastAsia="Calibri"/>
          <w:sz w:val="22"/>
          <w:szCs w:val="22"/>
        </w:rPr>
      </w:pPr>
    </w:p>
    <w:p>
      <w:pPr>
        <w:pStyle w:val="Normal.0"/>
        <w:rPr>
          <w:rFonts w:ascii="Calibri" w:cs="Calibri" w:hAnsi="Calibri" w:eastAsia="Calibri"/>
          <w:sz w:val="22"/>
          <w:szCs w:val="22"/>
        </w:rPr>
      </w:pPr>
    </w:p>
    <w:p>
      <w:pPr>
        <w:pStyle w:val="Normal.0"/>
        <w:rPr>
          <w:rFonts w:ascii="Calibri" w:cs="Calibri" w:hAnsi="Calibri" w:eastAsia="Calibri"/>
          <w:sz w:val="22"/>
          <w:szCs w:val="22"/>
        </w:rPr>
      </w:pPr>
    </w:p>
    <w:p>
      <w:pPr>
        <w:pStyle w:val="Normal.0"/>
        <w:rPr>
          <w:rFonts w:ascii="Calibri" w:cs="Calibri" w:hAnsi="Calibri" w:eastAsia="Calibri"/>
          <w:sz w:val="22"/>
          <w:szCs w:val="22"/>
        </w:rPr>
      </w:pPr>
    </w:p>
    <w:p>
      <w:pPr>
        <w:pStyle w:val="Normal.0"/>
        <w:rPr>
          <w:rFonts w:ascii="Calibri" w:cs="Calibri" w:hAnsi="Calibri" w:eastAsia="Calibri"/>
          <w:sz w:val="22"/>
          <w:szCs w:val="22"/>
        </w:rPr>
      </w:pPr>
      <w:r>
        <w:rPr>
          <w:rFonts w:ascii="Calibri" w:cs="Calibri" w:hAnsi="Calibri" w:eastAsia="Calibri"/>
          <w:sz w:val="22"/>
          <w:szCs w:val="22"/>
        </w:rPr>
        <mc:AlternateContent>
          <mc:Choice Requires="wpg">
            <w:drawing xmlns:a="http://schemas.openxmlformats.org/drawingml/2006/main">
              <wp:anchor distT="0" distB="0" distL="0" distR="0" simplePos="0" relativeHeight="251659264" behindDoc="0" locked="0" layoutInCell="1" allowOverlap="1">
                <wp:simplePos x="0" y="0"/>
                <wp:positionH relativeFrom="page">
                  <wp:posOffset>5702300</wp:posOffset>
                </wp:positionH>
                <wp:positionV relativeFrom="page">
                  <wp:posOffset>9401173</wp:posOffset>
                </wp:positionV>
                <wp:extent cx="2072009" cy="1462414"/>
                <wp:effectExtent l="0" t="0" r="0" b="0"/>
                <wp:wrapSquare wrapText="largest" distL="0" distR="0" distT="0" distB="0"/>
                <wp:docPr id="1073741828" name="officeArt object" descr="Group"/>
                <wp:cNvGraphicFramePr/>
                <a:graphic xmlns:a="http://schemas.openxmlformats.org/drawingml/2006/main">
                  <a:graphicData uri="http://schemas.microsoft.com/office/word/2010/wordprocessingGroup">
                    <wpg:wgp>
                      <wpg:cNvGrpSpPr/>
                      <wpg:grpSpPr>
                        <a:xfrm>
                          <a:off x="0" y="0"/>
                          <a:ext cx="2072009" cy="1462414"/>
                          <a:chOff x="0" y="0"/>
                          <a:chExt cx="2072009" cy="1462413"/>
                        </a:xfrm>
                      </wpg:grpSpPr>
                      <wps:wsp>
                        <wps:cNvPr id="1073741826" name="Rectangle"/>
                        <wps:cNvSpPr/>
                        <wps:spPr>
                          <a:xfrm>
                            <a:off x="-1" y="-1"/>
                            <a:ext cx="2072010" cy="1462414"/>
                          </a:xfrm>
                          <a:prstGeom prst="rect">
                            <a:avLst/>
                          </a:prstGeom>
                          <a:solidFill>
                            <a:srgbClr val="FFFFFF"/>
                          </a:solidFill>
                          <a:ln w="12700" cap="flat">
                            <a:noFill/>
                            <a:miter lim="400000"/>
                          </a:ln>
                          <a:effectLst/>
                        </wps:spPr>
                        <wps:bodyPr/>
                      </wps:wsp>
                      <pic:pic xmlns:pic="http://schemas.openxmlformats.org/drawingml/2006/picture">
                        <pic:nvPicPr>
                          <pic:cNvPr id="1073741827" name="image.png" descr="image.png"/>
                          <pic:cNvPicPr>
                            <a:picLocks noChangeAspect="1"/>
                          </pic:cNvPicPr>
                        </pic:nvPicPr>
                        <pic:blipFill>
                          <a:blip r:embed="rId4">
                            <a:extLst/>
                          </a:blip>
                          <a:stretch>
                            <a:fillRect/>
                          </a:stretch>
                        </pic:blipFill>
                        <pic:spPr>
                          <a:xfrm>
                            <a:off x="0" y="1"/>
                            <a:ext cx="2072009" cy="1462410"/>
                          </a:xfrm>
                          <a:prstGeom prst="rect">
                            <a:avLst/>
                          </a:prstGeom>
                          <a:ln w="12700" cap="flat">
                            <a:noFill/>
                            <a:miter lim="400000"/>
                          </a:ln>
                          <a:effectLst/>
                        </pic:spPr>
                      </pic:pic>
                    </wpg:wgp>
                  </a:graphicData>
                </a:graphic>
              </wp:anchor>
            </w:drawing>
          </mc:Choice>
          <mc:Fallback>
            <w:pict>
              <v:group id="_x0000_s1026" style="visibility:visible;position:absolute;margin-left:449.0pt;margin-top:740.2pt;width:163.2pt;height:115.2pt;z-index:251659264;mso-position-horizontal:absolute;mso-position-horizontal-relative:page;mso-position-vertical:absolute;mso-position-vertical-relative:page;mso-wrap-distance-left:0.0pt;mso-wrap-distance-top:0.0pt;mso-wrap-distance-right:0.0pt;mso-wrap-distance-bottom:0.0pt;" coordorigin="-1,-1" coordsize="2072009,1462413">
                <w10:wrap type="square" side="largest" anchorx="page" anchory="page"/>
                <v:rect id="_x0000_s1027" style="position:absolute;left:-1;top:-1;width:2072009;height:1462413;">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1;width:2072008;height:1462409;">
                  <v:imagedata r:id="rId4" o:title="image1.png"/>
                </v:shape>
              </v:group>
            </w:pict>
          </mc:Fallback>
        </mc:AlternateContent>
      </w:r>
      <w:r>
        <w:rPr>
          <w:rFonts w:ascii="Calibri" w:hAnsi="Calibri"/>
          <w:sz w:val="22"/>
          <w:szCs w:val="22"/>
          <w:rtl w:val="0"/>
          <w:lang w:val="en-US"/>
        </w:rPr>
        <w:t xml:space="preserve">Fuels can be burned in smoke control areas if they have been listed, by the Secretary of State, as authorised fuels in accordance with section 20 of the Clean Air Act 1993. </w:t>
      </w:r>
      <w:r>
        <w:rPr>
          <w:rFonts w:ascii="Calibri" w:hAnsi="Calibri"/>
          <w:sz w:val="22"/>
          <w:szCs w:val="22"/>
          <w:shd w:val="clear" w:color="auto" w:fill="ffff00"/>
          <w:rtl w:val="0"/>
          <w:lang w:val="en-US"/>
        </w:rPr>
        <w:t>${FuelName}</w:t>
      </w:r>
      <w:r>
        <w:rPr>
          <w:rFonts w:ascii="Calibri" w:hAnsi="Calibri"/>
          <w:sz w:val="22"/>
          <w:szCs w:val="22"/>
          <w:rtl w:val="0"/>
          <w:lang w:val="en-US"/>
        </w:rPr>
        <w:t xml:space="preserve"> may therefore be used in smoke control areas under section 20 of the Clean Air Act 1993. From May 1</w:t>
      </w:r>
      <w:r>
        <w:rPr>
          <w:rFonts w:ascii="Calibri" w:hAnsi="Calibri"/>
          <w:sz w:val="22"/>
          <w:szCs w:val="22"/>
          <w:vertAlign w:val="superscript"/>
          <w:rtl w:val="0"/>
          <w:lang w:val="en-US"/>
        </w:rPr>
        <w:t>st</w:t>
      </w:r>
      <w:r>
        <w:rPr>
          <w:rFonts w:ascii="Calibri" w:hAnsi="Calibri"/>
          <w:sz w:val="22"/>
          <w:szCs w:val="22"/>
          <w:rtl w:val="0"/>
          <w:lang w:val="en-US"/>
        </w:rPr>
        <w:t xml:space="preserve"> 2021 all manufactured solid fuels sold in England must display the Ready to Burn certification logo in accordance with regulation SI 2020 No. 1095. The certification number and Ready to Burn logo will be supplied to the applicant upon final approval.</w:t>
      </w:r>
    </w:p>
    <w:p>
      <w:pPr>
        <w:pStyle w:val="Normal.0"/>
        <w:rPr>
          <w:rFonts w:ascii="Calibri" w:cs="Calibri" w:hAnsi="Calibri" w:eastAsia="Calibri"/>
          <w:sz w:val="22"/>
          <w:szCs w:val="22"/>
        </w:rPr>
      </w:pPr>
    </w:p>
    <w:p>
      <w:pPr>
        <w:pStyle w:val="Normal.0"/>
        <w:rPr>
          <w:rFonts w:ascii="Calibri" w:cs="Calibri" w:hAnsi="Calibri" w:eastAsia="Calibri"/>
          <w:outline w:val="0"/>
          <w:color w:val="000000"/>
          <w:sz w:val="22"/>
          <w:szCs w:val="22"/>
          <w:u w:color="000000"/>
          <w14:textFill>
            <w14:solidFill>
              <w14:srgbClr w14:val="000000"/>
            </w14:solidFill>
          </w14:textFill>
        </w:rPr>
      </w:pPr>
      <w:r>
        <w:rPr>
          <w:rFonts w:ascii="Calibri" w:hAnsi="Calibri"/>
          <w:sz w:val="22"/>
          <w:szCs w:val="22"/>
          <w:rtl w:val="0"/>
          <w:lang w:val="en-US"/>
        </w:rPr>
        <w:t xml:space="preserve">The </w:t>
      </w:r>
      <w:r>
        <w:rPr>
          <w:rFonts w:ascii="Calibri" w:hAnsi="Calibri"/>
          <w:outline w:val="0"/>
          <w:color w:val="000000"/>
          <w:sz w:val="22"/>
          <w:szCs w:val="22"/>
          <w:u w:color="000000"/>
          <w:rtl w:val="0"/>
          <w:lang w:val="en-US"/>
          <w14:textFill>
            <w14:solidFill>
              <w14:srgbClr w14:val="000000"/>
            </w14:solidFill>
          </w14:textFill>
        </w:rPr>
        <w:t>emissions &amp; sulphur content from the fuel(s) are detailed in the table below:</w:t>
      </w:r>
      <w:r>
        <w:rPr>
          <w:rFonts w:ascii="Calibri" w:cs="Calibri" w:hAnsi="Calibri" w:eastAsia="Calibri"/>
          <w:sz w:val="22"/>
          <w:szCs w:val="22"/>
        </w:rPr>
        <w:br w:type="textWrapping"/>
        <w:br w:type="textWrapping"/>
      </w:r>
    </w:p>
    <w:tbl>
      <w:tblPr>
        <w:tblW w:w="751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40"/>
        <w:gridCol w:w="2035"/>
        <w:gridCol w:w="2338"/>
      </w:tblGrid>
      <w:tr>
        <w:tblPrEx>
          <w:shd w:val="clear" w:color="auto" w:fill="ced7e7"/>
        </w:tblPrEx>
        <w:trPr>
          <w:trHeight w:val="570" w:hRule="atLeast"/>
        </w:trPr>
        <w:tc>
          <w:tcPr>
            <w:tcW w:type="dxa" w:w="3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6bb7"/>
            <w:tcMar>
              <w:top w:type="dxa" w:w="80"/>
              <w:left w:type="dxa" w:w="80"/>
              <w:bottom w:type="dxa" w:w="80"/>
              <w:right w:type="dxa" w:w="80"/>
            </w:tcMar>
            <w:vAlign w:val="center"/>
          </w:tcPr>
          <w:p>
            <w:pPr>
              <w:pStyle w:val="Normal.0"/>
              <w:spacing w:before="60"/>
              <w:jc w:val="center"/>
            </w:pPr>
            <w:r>
              <w:rPr>
                <w:rFonts w:ascii="Calibri" w:hAnsi="Calibri"/>
                <w:outline w:val="0"/>
                <w:color w:val="ffffff"/>
                <w:sz w:val="22"/>
                <w:szCs w:val="22"/>
                <w:u w:color="ffffff"/>
                <w:shd w:val="nil" w:color="auto" w:fill="auto"/>
                <w:rtl w:val="0"/>
                <w:lang w:val="en-US"/>
                <w14:textFill>
                  <w14:solidFill>
                    <w14:srgbClr w14:val="FFFFFF"/>
                  </w14:solidFill>
                </w14:textFill>
              </w:rPr>
              <w:t>Fuel name</w:t>
            </w:r>
          </w:p>
        </w:tc>
        <w:tc>
          <w:tcPr>
            <w:tcW w:type="dxa" w:w="2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6bb7"/>
            <w:tcMar>
              <w:top w:type="dxa" w:w="80"/>
              <w:left w:type="dxa" w:w="80"/>
              <w:bottom w:type="dxa" w:w="80"/>
              <w:right w:type="dxa" w:w="80"/>
            </w:tcMar>
            <w:vAlign w:val="center"/>
          </w:tcPr>
          <w:p>
            <w:pPr>
              <w:pStyle w:val="Normal.0"/>
              <w:spacing w:before="60"/>
            </w:pPr>
            <w:r>
              <w:rPr>
                <w:rFonts w:ascii="Calibri" w:hAnsi="Calibri"/>
                <w:outline w:val="0"/>
                <w:color w:val="ffffff"/>
                <w:sz w:val="22"/>
                <w:szCs w:val="22"/>
                <w:u w:color="ffffff"/>
                <w:shd w:val="nil" w:color="auto" w:fill="auto"/>
                <w:rtl w:val="0"/>
                <w:lang w:val="en-US"/>
                <w14:textFill>
                  <w14:solidFill>
                    <w14:srgbClr w14:val="FFFFFF"/>
                  </w14:solidFill>
                </w14:textFill>
              </w:rPr>
              <w:t>Smoke emission measurement (g/h)</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6bb7"/>
            <w:tcMar>
              <w:top w:type="dxa" w:w="80"/>
              <w:left w:type="dxa" w:w="80"/>
              <w:bottom w:type="dxa" w:w="80"/>
              <w:right w:type="dxa" w:w="80"/>
            </w:tcMar>
            <w:vAlign w:val="center"/>
          </w:tcPr>
          <w:p>
            <w:pPr>
              <w:pStyle w:val="Normal.0"/>
              <w:spacing w:before="60"/>
            </w:pPr>
            <w:r>
              <w:rPr>
                <w:rFonts w:ascii="Calibri" w:hAnsi="Calibri"/>
                <w:outline w:val="0"/>
                <w:color w:val="ffffff"/>
                <w:sz w:val="22"/>
                <w:szCs w:val="22"/>
                <w:u w:color="ffffff"/>
                <w:shd w:val="nil" w:color="auto" w:fill="auto"/>
                <w:rtl w:val="0"/>
                <w:lang w:val="en-US"/>
                <w14:textFill>
                  <w14:solidFill>
                    <w14:srgbClr w14:val="FFFFFF"/>
                  </w14:solidFill>
                </w14:textFill>
              </w:rPr>
              <w:t>Sulphur content (%)</w:t>
            </w:r>
          </w:p>
        </w:tc>
      </w:tr>
      <w:tr>
        <w:tblPrEx>
          <w:shd w:val="clear" w:color="auto" w:fill="ced7e7"/>
        </w:tblPrEx>
        <w:trPr>
          <w:trHeight w:val="778" w:hRule="atLeast"/>
        </w:trPr>
        <w:tc>
          <w:tcPr>
            <w:tcW w:type="dxa" w:w="3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6bb7"/>
            <w:tcMar>
              <w:top w:type="dxa" w:w="80"/>
              <w:left w:type="dxa" w:w="80"/>
              <w:bottom w:type="dxa" w:w="80"/>
              <w:right w:type="dxa" w:w="80"/>
            </w:tcMar>
            <w:vAlign w:val="center"/>
          </w:tcPr>
          <w:p>
            <w:pPr>
              <w:pStyle w:val="Normal.0"/>
              <w:spacing w:before="60"/>
              <w:jc w:val="center"/>
            </w:pPr>
            <w:r>
              <w:rPr>
                <w:rFonts w:ascii="Calibri" w:hAnsi="Calibri"/>
                <w:outline w:val="0"/>
                <w:color w:val="ffffff"/>
                <w:sz w:val="22"/>
                <w:szCs w:val="22"/>
                <w:u w:color="ffffff"/>
                <w:shd w:val="clear" w:color="auto" w:fill="ffff00"/>
                <w:rtl w:val="0"/>
                <w:lang w:val="en-US"/>
                <w14:textFill>
                  <w14:solidFill>
                    <w14:srgbClr w14:val="FFFFFF"/>
                  </w14:solidFill>
                </w14:textFill>
              </w:rPr>
              <w:t>XXX</w:t>
            </w:r>
          </w:p>
        </w:tc>
        <w:tc>
          <w:tcPr>
            <w:tcW w:type="dxa" w:w="2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cf2"/>
            <w:tcMar>
              <w:top w:type="dxa" w:w="80"/>
              <w:left w:type="dxa" w:w="80"/>
              <w:bottom w:type="dxa" w:w="80"/>
              <w:right w:type="dxa" w:w="80"/>
            </w:tcMar>
            <w:vAlign w:val="center"/>
          </w:tcPr>
          <w:p>
            <w:pPr>
              <w:pStyle w:val="Normal.0"/>
              <w:spacing w:before="60"/>
              <w:jc w:val="center"/>
            </w:pPr>
            <w:r>
              <w:rPr>
                <w:rFonts w:ascii="Calibri" w:hAnsi="Calibri"/>
                <w:sz w:val="22"/>
                <w:szCs w:val="22"/>
                <w:shd w:val="clear" w:color="auto" w:fill="ffff00"/>
                <w:rtl w:val="0"/>
                <w:lang w:val="en-US"/>
              </w:rPr>
              <w:t>XXX</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cf2"/>
            <w:tcMar>
              <w:top w:type="dxa" w:w="80"/>
              <w:left w:type="dxa" w:w="80"/>
              <w:bottom w:type="dxa" w:w="80"/>
              <w:right w:type="dxa" w:w="80"/>
            </w:tcMar>
            <w:vAlign w:val="center"/>
          </w:tcPr>
          <w:p>
            <w:pPr>
              <w:pStyle w:val="Normal.0"/>
              <w:spacing w:before="60"/>
              <w:jc w:val="center"/>
            </w:pPr>
            <w:r>
              <w:rPr>
                <w:rFonts w:ascii="Calibri" w:hAnsi="Calibri"/>
                <w:sz w:val="22"/>
                <w:szCs w:val="22"/>
                <w:shd w:val="clear" w:color="auto" w:fill="ffff00"/>
                <w:rtl w:val="0"/>
                <w:lang w:val="en-US"/>
              </w:rPr>
              <w:t>XXX</w:t>
            </w:r>
          </w:p>
        </w:tc>
      </w:tr>
      <w:tr>
        <w:tblPrEx>
          <w:shd w:val="clear" w:color="auto" w:fill="ced7e7"/>
        </w:tblPrEx>
        <w:trPr>
          <w:trHeight w:val="778" w:hRule="atLeast"/>
        </w:trPr>
        <w:tc>
          <w:tcPr>
            <w:tcW w:type="dxa" w:w="3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6bb7"/>
            <w:tcMar>
              <w:top w:type="dxa" w:w="80"/>
              <w:left w:type="dxa" w:w="80"/>
              <w:bottom w:type="dxa" w:w="80"/>
              <w:right w:type="dxa" w:w="80"/>
            </w:tcMar>
            <w:vAlign w:val="center"/>
          </w:tcPr>
          <w:p>
            <w:pPr>
              <w:pStyle w:val="Normal.0"/>
              <w:spacing w:before="60"/>
              <w:jc w:val="center"/>
            </w:pPr>
            <w:r>
              <w:rPr>
                <w:rFonts w:ascii="Calibri" w:hAnsi="Calibri"/>
                <w:outline w:val="0"/>
                <w:color w:val="ffffff"/>
                <w:sz w:val="22"/>
                <w:szCs w:val="22"/>
                <w:u w:color="ffffff"/>
                <w:shd w:val="clear" w:color="auto" w:fill="ffff00"/>
                <w:rtl w:val="0"/>
                <w:lang w:val="en-US"/>
                <w14:textFill>
                  <w14:solidFill>
                    <w14:srgbClr w14:val="FFFFFF"/>
                  </w14:solidFill>
                </w14:textFill>
              </w:rPr>
              <w:t>XXX</w:t>
            </w:r>
          </w:p>
        </w:tc>
        <w:tc>
          <w:tcPr>
            <w:tcW w:type="dxa" w:w="2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cf2"/>
            <w:tcMar>
              <w:top w:type="dxa" w:w="80"/>
              <w:left w:type="dxa" w:w="80"/>
              <w:bottom w:type="dxa" w:w="80"/>
              <w:right w:type="dxa" w:w="80"/>
            </w:tcMar>
            <w:vAlign w:val="center"/>
          </w:tcPr>
          <w:p>
            <w:pPr>
              <w:pStyle w:val="Normal.0"/>
              <w:spacing w:before="60"/>
              <w:jc w:val="center"/>
            </w:pPr>
            <w:r>
              <w:rPr>
                <w:rFonts w:ascii="Calibri" w:hAnsi="Calibri"/>
                <w:sz w:val="22"/>
                <w:szCs w:val="22"/>
                <w:shd w:val="clear" w:color="auto" w:fill="ffff00"/>
                <w:rtl w:val="0"/>
                <w:lang w:val="en-US"/>
              </w:rPr>
              <w:t>XXX</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cf2"/>
            <w:tcMar>
              <w:top w:type="dxa" w:w="80"/>
              <w:left w:type="dxa" w:w="80"/>
              <w:bottom w:type="dxa" w:w="80"/>
              <w:right w:type="dxa" w:w="80"/>
            </w:tcMar>
            <w:vAlign w:val="center"/>
          </w:tcPr>
          <w:p>
            <w:pPr>
              <w:pStyle w:val="Normal.0"/>
              <w:spacing w:before="60"/>
              <w:jc w:val="center"/>
            </w:pPr>
            <w:r>
              <w:rPr>
                <w:rFonts w:ascii="Calibri" w:hAnsi="Calibri"/>
                <w:sz w:val="22"/>
                <w:szCs w:val="22"/>
                <w:shd w:val="clear" w:color="auto" w:fill="ffff00"/>
                <w:rtl w:val="0"/>
                <w:lang w:val="en-US"/>
              </w:rPr>
              <w:t>XXX</w:t>
            </w:r>
          </w:p>
        </w:tc>
      </w:tr>
    </w:tbl>
    <w:p>
      <w:pPr>
        <w:pStyle w:val="Normal.0"/>
        <w:ind w:left="324" w:hanging="324"/>
        <w:jc w:val="center"/>
        <w:rPr>
          <w:rFonts w:ascii="Calibri" w:cs="Calibri" w:hAnsi="Calibri" w:eastAsia="Calibri"/>
          <w:outline w:val="0"/>
          <w:color w:val="000000"/>
          <w:sz w:val="22"/>
          <w:szCs w:val="22"/>
          <w:u w:color="000000"/>
          <w14:textFill>
            <w14:solidFill>
              <w14:srgbClr w14:val="000000"/>
            </w14:solidFill>
          </w14:textFill>
        </w:rPr>
      </w:pPr>
    </w:p>
    <w:p>
      <w:pPr>
        <w:pStyle w:val="Normal.0"/>
        <w:ind w:left="216" w:hanging="216"/>
        <w:jc w:val="center"/>
        <w:rPr>
          <w:rFonts w:ascii="Calibri" w:cs="Calibri" w:hAnsi="Calibri" w:eastAsia="Calibri"/>
          <w:outline w:val="0"/>
          <w:color w:val="000000"/>
          <w:sz w:val="22"/>
          <w:szCs w:val="22"/>
          <w:u w:color="000000"/>
          <w14:textFill>
            <w14:solidFill>
              <w14:srgbClr w14:val="000000"/>
            </w14:solidFill>
          </w14:textFill>
        </w:rPr>
      </w:pPr>
    </w:p>
    <w:p>
      <w:pPr>
        <w:pStyle w:val="Normal.0"/>
        <w:ind w:left="108" w:hanging="108"/>
        <w:jc w:val="center"/>
        <w:rPr>
          <w:rFonts w:ascii="Calibri" w:cs="Calibri" w:hAnsi="Calibri" w:eastAsia="Calibri"/>
          <w:outline w:val="0"/>
          <w:color w:val="000000"/>
          <w:sz w:val="22"/>
          <w:szCs w:val="22"/>
          <w:u w:color="000000"/>
          <w14:textFill>
            <w14:solidFill>
              <w14:srgbClr w14:val="000000"/>
            </w14:solidFill>
          </w14:textFill>
        </w:rPr>
      </w:pPr>
    </w:p>
    <w:p>
      <w:pPr>
        <w:pStyle w:val="Normal.0"/>
        <w:jc w:val="center"/>
        <w:rPr>
          <w:rFonts w:ascii="Calibri" w:cs="Calibri" w:hAnsi="Calibri" w:eastAsia="Calibri"/>
          <w:outline w:val="0"/>
          <w:color w:val="000000"/>
          <w:sz w:val="22"/>
          <w:szCs w:val="22"/>
          <w:u w:color="000000"/>
          <w14:textFill>
            <w14:solidFill>
              <w14:srgbClr w14:val="000000"/>
            </w14:solidFill>
          </w14:textFill>
        </w:rPr>
      </w:pPr>
    </w:p>
    <w:p>
      <w:pPr>
        <w:pStyle w:val="Normal.0"/>
        <w:rPr>
          <w:rFonts w:ascii="Calibri" w:cs="Calibri" w:hAnsi="Calibri" w:eastAsia="Calibri"/>
          <w:sz w:val="22"/>
          <w:szCs w:val="22"/>
        </w:rPr>
      </w:pPr>
    </w:p>
    <w:p>
      <w:pPr>
        <w:pStyle w:val="Normal.0"/>
        <w:rPr>
          <w:rFonts w:ascii="Calibri" w:cs="Calibri" w:hAnsi="Calibri" w:eastAsia="Calibri"/>
          <w:sz w:val="22"/>
          <w:szCs w:val="22"/>
        </w:rPr>
      </w:pPr>
    </w:p>
    <w:p>
      <w:pPr>
        <w:pStyle w:val="Normal.0"/>
        <w:rPr>
          <w:rFonts w:ascii="Calibri" w:cs="Calibri" w:hAnsi="Calibri" w:eastAsia="Calibri"/>
          <w:sz w:val="22"/>
          <w:szCs w:val="22"/>
        </w:rPr>
      </w:pPr>
      <w:r>
        <w:rPr>
          <w:rFonts w:ascii="Calibri" w:hAnsi="Calibri"/>
          <w:sz w:val="22"/>
          <w:szCs w:val="22"/>
          <w:rtl w:val="0"/>
          <w:lang w:val="en-US"/>
        </w:rPr>
        <w:t>The proposed fuel schedules are attached to this recommendation.</w:t>
      </w:r>
    </w:p>
    <w:p>
      <w:pPr>
        <w:pStyle w:val="Normal.0"/>
        <w:rPr>
          <w:rFonts w:ascii="Calibri" w:cs="Calibri" w:hAnsi="Calibri" w:eastAsia="Calibri"/>
          <w:sz w:val="22"/>
          <w:szCs w:val="22"/>
        </w:rPr>
      </w:pPr>
    </w:p>
    <w:p>
      <w:pPr>
        <w:pStyle w:val="Normal.0"/>
        <w:rPr>
          <w:rFonts w:ascii="Calibri" w:cs="Calibri" w:hAnsi="Calibri" w:eastAsia="Calibri"/>
          <w:sz w:val="22"/>
          <w:szCs w:val="22"/>
        </w:rPr>
      </w:pPr>
      <w:r>
        <w:rPr>
          <w:rFonts w:ascii="Calibri" w:hAnsi="Calibri"/>
          <w:sz w:val="22"/>
          <w:szCs w:val="22"/>
          <w:rtl w:val="0"/>
          <w:lang w:val="en-US"/>
        </w:rPr>
        <w:t xml:space="preserve">For information the cost to the applicant for the assessment of the fuels that they have applied for was a total of </w:t>
      </w:r>
      <w:r>
        <w:rPr>
          <w:rFonts w:ascii="Calibri" w:hAnsi="Calibri" w:hint="default"/>
          <w:sz w:val="22"/>
          <w:szCs w:val="22"/>
          <w:rtl w:val="0"/>
          <w:lang w:val="en-US"/>
        </w:rPr>
        <w:t>£</w:t>
      </w:r>
      <w:r>
        <w:rPr>
          <w:rFonts w:ascii="Calibri" w:hAnsi="Calibri"/>
          <w:sz w:val="22"/>
          <w:szCs w:val="22"/>
          <w:shd w:val="clear" w:color="auto" w:fill="ffff00"/>
          <w:rtl w:val="0"/>
          <w:lang w:val="en-US"/>
        </w:rPr>
        <w:t>XXXX.XX</w:t>
      </w:r>
      <w:r>
        <w:rPr>
          <w:rFonts w:ascii="Calibri" w:hAnsi="Calibri"/>
          <w:sz w:val="22"/>
          <w:szCs w:val="22"/>
          <w:rtl w:val="0"/>
          <w:lang w:val="en-US"/>
        </w:rPr>
        <w:t>+VAT.</w:t>
      </w:r>
    </w:p>
    <w:p>
      <w:pPr>
        <w:pStyle w:val="Normal.0"/>
        <w:rPr>
          <w:rFonts w:ascii="Calibri" w:cs="Calibri" w:hAnsi="Calibri" w:eastAsia="Calibri"/>
          <w:sz w:val="22"/>
          <w:szCs w:val="22"/>
        </w:rPr>
      </w:pPr>
    </w:p>
    <w:p>
      <w:pPr>
        <w:pStyle w:val="Normal.0"/>
        <w:rPr>
          <w:rFonts w:ascii="Calibri" w:cs="Calibri" w:hAnsi="Calibri" w:eastAsia="Calibri"/>
          <w:sz w:val="22"/>
          <w:szCs w:val="22"/>
        </w:rPr>
      </w:pPr>
      <w:r>
        <w:rPr>
          <w:rFonts w:ascii="Calibri" w:hAnsi="Calibri"/>
          <w:sz w:val="22"/>
          <w:szCs w:val="22"/>
          <w:rtl w:val="0"/>
          <w:lang w:val="en-US"/>
        </w:rPr>
        <w:t>If you have any questions relating to the recommendation of the fuels, please do not hesitate to contact me.</w:t>
      </w:r>
    </w:p>
    <w:p>
      <w:pPr>
        <w:pStyle w:val="Normal.0"/>
        <w:rPr>
          <w:rFonts w:ascii="Calibri" w:cs="Calibri" w:hAnsi="Calibri" w:eastAsia="Calibri"/>
          <w:sz w:val="22"/>
          <w:szCs w:val="22"/>
        </w:rPr>
      </w:pPr>
    </w:p>
    <w:p>
      <w:pPr>
        <w:pStyle w:val="Normal.0"/>
        <w:rPr>
          <w:rFonts w:ascii="Calibri" w:cs="Calibri" w:hAnsi="Calibri" w:eastAsia="Calibri"/>
          <w:sz w:val="22"/>
          <w:szCs w:val="22"/>
        </w:rPr>
      </w:pPr>
    </w:p>
    <w:p>
      <w:pPr>
        <w:pStyle w:val="Normal.0"/>
        <w:rPr>
          <w:rFonts w:ascii="Calibri" w:cs="Calibri" w:hAnsi="Calibri" w:eastAsia="Calibri"/>
          <w:sz w:val="22"/>
          <w:szCs w:val="22"/>
        </w:rPr>
      </w:pPr>
    </w:p>
    <w:p>
      <w:pPr>
        <w:pStyle w:val="Normal.0"/>
        <w:rPr>
          <w:rFonts w:ascii="Calibri" w:cs="Calibri" w:hAnsi="Calibri" w:eastAsia="Calibri"/>
          <w:sz w:val="22"/>
          <w:szCs w:val="22"/>
        </w:rPr>
      </w:pPr>
      <w:r>
        <w:rPr>
          <w:rFonts w:ascii="Calibri" w:hAnsi="Calibri"/>
          <w:sz w:val="22"/>
          <w:szCs w:val="22"/>
          <w:rtl w:val="0"/>
          <w:lang w:val="en-US"/>
        </w:rPr>
        <w:t>Yours faithfully</w:t>
      </w:r>
    </w:p>
    <w:p>
      <w:pPr>
        <w:pStyle w:val="Normal.0"/>
        <w:rPr>
          <w:rFonts w:ascii="Calibri" w:cs="Calibri" w:hAnsi="Calibri" w:eastAsia="Calibri"/>
          <w:sz w:val="22"/>
          <w:szCs w:val="22"/>
        </w:rPr>
      </w:pPr>
    </w:p>
    <w:p>
      <w:pPr>
        <w:pStyle w:val="Normal.0"/>
        <w:rPr>
          <w:rFonts w:ascii="Calibri" w:cs="Calibri" w:hAnsi="Calibri" w:eastAsia="Calibri"/>
          <w:sz w:val="22"/>
          <w:szCs w:val="22"/>
        </w:rPr>
      </w:pPr>
    </w:p>
    <w:p>
      <w:pPr>
        <w:pStyle w:val="Normal.0"/>
        <w:rPr>
          <w:rFonts w:ascii="Calibri" w:cs="Calibri" w:hAnsi="Calibri" w:eastAsia="Calibri"/>
          <w:sz w:val="22"/>
          <w:szCs w:val="22"/>
        </w:rPr>
      </w:pPr>
    </w:p>
    <w:p>
      <w:pPr>
        <w:pStyle w:val="Normal.0"/>
        <w:rPr>
          <w:rFonts w:ascii="Calibri" w:cs="Calibri" w:hAnsi="Calibri" w:eastAsia="Calibri"/>
          <w:sz w:val="22"/>
          <w:szCs w:val="22"/>
        </w:rPr>
      </w:pPr>
      <w:r>
        <w:rPr>
          <w:rFonts w:ascii="Calibri" w:hAnsi="Calibri"/>
          <w:sz w:val="22"/>
          <w:szCs w:val="22"/>
          <w:shd w:val="clear" w:color="auto" w:fill="ffff00"/>
          <w:rtl w:val="0"/>
          <w:lang w:val="en-US"/>
        </w:rPr>
        <w:t>NAME</w:t>
      </w:r>
      <w:r>
        <w:rPr>
          <w:rFonts w:ascii="Calibri" w:cs="Calibri" w:hAnsi="Calibri" w:eastAsia="Calibri"/>
          <w:sz w:val="22"/>
          <w:szCs w:val="22"/>
        </w:rPr>
        <w:br w:type="textWrapping"/>
      </w:r>
      <w:r>
        <w:rPr>
          <w:rFonts w:ascii="Calibri" w:hAnsi="Calibri"/>
          <w:sz w:val="22"/>
          <w:szCs w:val="22"/>
          <w:shd w:val="clear" w:color="auto" w:fill="ffff00"/>
          <w:rtl w:val="0"/>
          <w:lang w:val="en-US"/>
        </w:rPr>
        <w:t>POSITION</w:t>
      </w:r>
    </w:p>
    <w:p>
      <w:pPr>
        <w:pStyle w:val="Header"/>
        <w:tabs>
          <w:tab w:val="left" w:pos="720"/>
        </w:tabs>
        <w:rPr>
          <w:rFonts w:ascii="Calibri" w:cs="Calibri" w:hAnsi="Calibri" w:eastAsia="Calibri"/>
          <w:sz w:val="22"/>
          <w:szCs w:val="22"/>
        </w:rPr>
      </w:pPr>
    </w:p>
    <w:p>
      <w:pPr>
        <w:pStyle w:val="Header"/>
        <w:tabs>
          <w:tab w:val="left" w:pos="720"/>
        </w:tabs>
        <w:rPr>
          <w:rFonts w:ascii="Calibri" w:cs="Calibri" w:hAnsi="Calibri" w:eastAsia="Calibri"/>
          <w:sz w:val="22"/>
          <w:szCs w:val="22"/>
        </w:rPr>
      </w:pPr>
    </w:p>
    <w:p>
      <w:pPr>
        <w:pStyle w:val="Header"/>
        <w:tabs>
          <w:tab w:val="left" w:pos="720"/>
        </w:tabs>
        <w:rPr>
          <w:rFonts w:ascii="Calibri" w:cs="Calibri" w:hAnsi="Calibri" w:eastAsia="Calibri"/>
          <w:sz w:val="22"/>
          <w:szCs w:val="22"/>
        </w:rPr>
      </w:pPr>
    </w:p>
    <w:p>
      <w:pPr>
        <w:pStyle w:val="Header"/>
        <w:tabs>
          <w:tab w:val="left" w:pos="720"/>
        </w:tabs>
        <w:rPr>
          <w:rFonts w:ascii="Calibri" w:cs="Calibri" w:hAnsi="Calibri" w:eastAsia="Calibri"/>
          <w:sz w:val="22"/>
          <w:szCs w:val="22"/>
        </w:rPr>
      </w:pPr>
    </w:p>
    <w:p>
      <w:pPr>
        <w:pStyle w:val="Normal.0"/>
        <w:rPr>
          <w:rFonts w:ascii="Calibri" w:cs="Calibri" w:hAnsi="Calibri" w:eastAsia="Calibri"/>
          <w:sz w:val="22"/>
          <w:szCs w:val="22"/>
        </w:rPr>
      </w:pPr>
      <w:r>
        <w:rPr>
          <w:rFonts w:ascii="Calibri" w:hAnsi="Calibri"/>
          <w:sz w:val="22"/>
          <w:szCs w:val="22"/>
          <w:rtl w:val="0"/>
          <w:lang w:val="en-US"/>
        </w:rPr>
        <w:t>CC: Defra, Devolved Administrations of Scotland, Wales and Northern Ireland and the applicant</w:t>
      </w:r>
    </w:p>
    <w:p>
      <w:pPr>
        <w:pStyle w:val="Normal.0"/>
        <w:keepNext w:val="1"/>
        <w:ind w:left="426" w:firstLine="0"/>
        <w:outlineLvl w:val="1"/>
      </w:pPr>
      <w:r>
        <w:rPr>
          <w:rFonts w:ascii="Arial Unicode MS" w:cs="Arial Unicode MS" w:hAnsi="Arial Unicode MS" w:eastAsia="Arial Unicode MS"/>
          <w:b w:val="0"/>
          <w:bCs w:val="0"/>
          <w:i w:val="0"/>
          <w:iCs w:val="0"/>
          <w:sz w:val="22"/>
          <w:szCs w:val="22"/>
        </w:rPr>
        <w:br w:type="page"/>
      </w:r>
    </w:p>
    <w:p>
      <w:pPr>
        <w:pStyle w:val="Normal.0"/>
        <w:keepNext w:val="1"/>
        <w:ind w:left="426" w:firstLine="0"/>
        <w:outlineLvl w:val="1"/>
        <w:rPr>
          <w:rFonts w:ascii="Verdana" w:cs="Verdana" w:hAnsi="Verdana" w:eastAsia="Verdana"/>
          <w:b w:val="1"/>
          <w:bCs w:val="1"/>
          <w:outline w:val="0"/>
          <w:color w:val="000000"/>
          <w:sz w:val="28"/>
          <w:szCs w:val="28"/>
          <w:u w:color="000000"/>
          <w14:textFill>
            <w14:solidFill>
              <w14:srgbClr w14:val="000000"/>
            </w14:solidFill>
          </w14:textFill>
        </w:rPr>
      </w:pPr>
      <w:r>
        <w:rPr>
          <w:rFonts w:ascii="Verdana" w:hAnsi="Verdana"/>
          <w:b w:val="1"/>
          <w:bCs w:val="1"/>
          <w:outline w:val="0"/>
          <w:color w:val="000000"/>
          <w:sz w:val="28"/>
          <w:szCs w:val="28"/>
          <w:u w:color="000000"/>
          <w:rtl w:val="0"/>
          <w:lang w:val="en-US"/>
          <w14:textFill>
            <w14:solidFill>
              <w14:srgbClr w14:val="000000"/>
            </w14:solidFill>
          </w14:textFill>
        </w:rPr>
        <w:t xml:space="preserve">Fuel Schedule </w:t>
      </w:r>
    </w:p>
    <w:p>
      <w:pPr>
        <w:pStyle w:val="Normal.0"/>
        <w:keepNext w:val="1"/>
        <w:ind w:left="426" w:firstLine="0"/>
        <w:outlineLvl w:val="1"/>
        <w:rPr>
          <w:rFonts w:ascii="Calibri" w:cs="Calibri" w:hAnsi="Calibri" w:eastAsia="Calibri"/>
          <w:b w:val="1"/>
          <w:bCs w:val="1"/>
          <w:outline w:val="0"/>
          <w:color w:val="000000"/>
          <w:sz w:val="40"/>
          <w:szCs w:val="40"/>
          <w:u w:color="000000"/>
          <w14:textFill>
            <w14:solidFill>
              <w14:srgbClr w14:val="000000"/>
            </w14:solidFill>
          </w14:textFill>
        </w:rPr>
      </w:pPr>
    </w:p>
    <w:p>
      <w:pPr>
        <w:pStyle w:val="Normal.0"/>
        <w:keepNext w:val="1"/>
        <w:ind w:left="426" w:firstLine="0"/>
        <w:outlineLvl w:val="1"/>
      </w:pPr>
      <w:r>
        <w:rPr>
          <w:rFonts w:ascii="Calibri" w:hAnsi="Calibri"/>
          <w:b w:val="1"/>
          <w:bCs w:val="1"/>
          <w:outline w:val="0"/>
          <w:color w:val="000000"/>
          <w:sz w:val="40"/>
          <w:szCs w:val="40"/>
          <w:u w:color="000000"/>
          <w:shd w:val="clear" w:color="auto" w:fill="ffff00"/>
          <w:rtl w:val="0"/>
          <w:lang w:val="en-US"/>
          <w14:textFill>
            <w14:solidFill>
              <w14:srgbClr w14:val="000000"/>
            </w14:solidFill>
          </w14:textFill>
        </w:rPr>
        <w:t>COPIED FROM DEFRA DATABASE</w:t>
      </w:r>
      <w:r>
        <w:rPr>
          <w:rFonts w:ascii="Calibri" w:cs="Calibri" w:hAnsi="Calibri" w:eastAsia="Calibri"/>
          <w:b w:val="1"/>
          <w:bCs w:val="1"/>
          <w:outline w:val="0"/>
          <w:color w:val="000000"/>
          <w:sz w:val="40"/>
          <w:szCs w:val="40"/>
          <w:u w:color="000000"/>
          <w14:textFill>
            <w14:solidFill>
              <w14:srgbClr w14:val="000000"/>
            </w14:solidFill>
          </w14:textFill>
        </w:rPr>
      </w:r>
    </w:p>
    <w:sectPr>
      <w:headerReference w:type="default" r:id="rId5"/>
      <w:footerReference w:type="default" r:id="rId6"/>
      <w:pgSz w:w="11900" w:h="16840" w:orient="portrait"/>
      <w:pgMar w:top="567" w:right="567" w:bottom="567" w:left="567"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p>
  <w:p>
    <w:pPr>
      <w:pStyle w:val="Header"/>
      <w:rPr>
        <w:sz w:val="16"/>
        <w:szCs w:val="16"/>
      </w:rPr>
    </w:pPr>
    <w:r>
      <w:rPr>
        <w:sz w:val="16"/>
        <w:szCs w:val="16"/>
        <w:rtl w:val="0"/>
        <w:lang w:val="en-US"/>
      </w:rPr>
      <w:t>HETAS Ready to Burn Recommendation Letter</w:t>
    </w:r>
  </w:p>
  <w:p>
    <w:pPr>
      <w:pStyle w:val="Header"/>
      <w:rPr>
        <w:sz w:val="16"/>
        <w:szCs w:val="16"/>
      </w:rPr>
    </w:pPr>
    <w:r>
      <w:rPr>
        <w:sz w:val="16"/>
        <w:szCs w:val="16"/>
        <w:rtl w:val="0"/>
        <w:lang w:val="en-US"/>
      </w:rPr>
      <w:t>Version: HETRECMSF v1.0</w:t>
    </w:r>
  </w:p>
  <w:p>
    <w:pPr>
      <w:pStyle w:val="Header"/>
    </w:pPr>
    <w:r>
      <w:rPr>
        <w:sz w:val="16"/>
        <w:szCs w:val="16"/>
        <w:rtl w:val="0"/>
        <w:lang w:val="en-US"/>
      </w:rPr>
      <w:t>Version Date:30/08/2022</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9"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er">
    <w:name w:val="Header"/>
    <w:next w:val="Header"/>
    <w:pPr>
      <w:keepNext w:val="0"/>
      <w:keepLines w:val="0"/>
      <w:pageBreakBefore w:val="0"/>
      <w:widowControl w:val="0"/>
      <w:shd w:val="clear" w:color="auto" w:fill="auto"/>
      <w:tabs>
        <w:tab w:val="right" w:pos="9072"/>
      </w:tabs>
      <w:suppressAutoHyphens w:val="1"/>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QA-Page">
    <w:name w:val="QA-Page"/>
    <w:next w:val="QA-Page"/>
    <w:pPr>
      <w:keepNext w:val="0"/>
      <w:keepLines w:val="0"/>
      <w:pageBreakBefore w:val="0"/>
      <w:widowControl w:val="0"/>
      <w:shd w:val="clear" w:color="auto" w:fill="auto"/>
      <w:tabs>
        <w:tab w:val="left" w:pos="2366"/>
      </w:tabs>
      <w:suppressAutoHyphens w:val="1"/>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Letter Title">
    <w:name w:val="Letter Title"/>
    <w:next w:val="Normal.0"/>
    <w:pPr>
      <w:keepNext w:val="1"/>
      <w:keepLines w:val="0"/>
      <w:pageBreakBefore w:val="0"/>
      <w:widowControl w:val="1"/>
      <w:shd w:val="clear" w:color="auto" w:fill="auto"/>
      <w:suppressAutoHyphens w:val="0"/>
      <w:bidi w:val="0"/>
      <w:spacing w:before="240" w:after="240" w:line="240" w:lineRule="auto"/>
      <w:ind w:left="0" w:right="0" w:firstLine="0"/>
      <w:jc w:val="left"/>
      <w:outlineLvl w:val="9"/>
    </w:pPr>
    <w:rPr>
      <w:rFonts w:ascii="Calibri" w:cs="Arial Unicode MS" w:hAnsi="Calibri" w:eastAsia="Arial Unicode MS"/>
      <w:b w:val="1"/>
      <w:bCs w:val="1"/>
      <w:i w:val="0"/>
      <w:iCs w:val="0"/>
      <w:caps w:val="1"/>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