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Carry participant test</w:t>
      </w:r>
    </w:p>
    <w:p>
      <w:r>
        <w:t>Try the Android app in your own time, then complete this sheet. We are testing its features, not religious knowledge. Use fictional situations, not personal information.</w:t>
      </w:r>
    </w:p>
    <w:p>
      <w:pPr>
        <w:pStyle w:val="Heading1"/>
      </w:pPr>
      <w:r>
        <w:t>Before starting</w:t>
      </w:r>
    </w:p>
    <w:p>
      <w:r>
        <w:t>Participation is voluntary and you can stop anytime. Do you agree to your responses being included without your name in coursework and public project documentation? Yes / No. Continue only with Yes and the required course consent process.</w:t>
      </w:r>
    </w:p>
    <w:p>
      <w:r>
        <w:t>Participant label (provided by Eirik): [Type here]    Date: [Type here]</w:t>
      </w:r>
    </w:p>
    <w:p>
      <w:r>
        <w:t>Phone model and Android version: [Type here]</w:t>
      </w:r>
    </w:p>
    <w:p>
      <w:r>
        <w:t>First time using Carry: Yes / No</w:t>
      </w:r>
    </w:p>
    <w:p>
      <w:r>
        <w:t>Target group fit (Christian, aged 18 to 29, optional): Yes / No / Prefer not to say</w:t>
      </w:r>
    </w:p>
    <w:p>
      <w:pPr>
        <w:pStyle w:val="Heading1"/>
      </w:pPr>
      <w:r>
        <w:t>Install and open Carry</w:t>
      </w:r>
    </w:p>
    <w:p>
      <w:r>
        <w:t>Download Carry.apk and install it on your Android phone. If Android asks to allow installation from your browser or file app, allow only the supplied file. If installation is blocked, contact Eirik rather than disabling phone security. Open Carry. No account is needed.</w:t>
      </w:r>
    </w:p>
    <w:p>
      <w:pPr>
        <w:pStyle w:val="Heading1"/>
      </w:pPr>
      <w:r>
        <w:t>Tasks</w:t>
      </w:r>
    </w:p>
    <w:p>
      <w:pPr>
        <w:pStyle w:val="ListNumber"/>
      </w:pPr>
      <w:r>
        <w:t>Create a Carry for a fictional difficult discussion. Choose Scripture and save it in category Practice, scheduled a few minutes ahead, with an if-then plan. Stop when it is saved.</w:t>
      </w:r>
    </w:p>
    <w:p>
      <w:pPr>
        <w:pStyle w:val="ListNumber"/>
      </w:pPr>
      <w:r>
        <w:t>Once that scheduled time has passed, imagine you paused before replying. Save a reflection on the same Carry. Stop when it is saved.</w:t>
      </w:r>
    </w:p>
    <w:p>
      <w:pPr>
        <w:pStyle w:val="ListNumber"/>
      </w:pPr>
      <w:r>
        <w:t>Begin another Carry in category Practice. Find its latest reflection. Stop when found, without saving the new Carry.</w:t>
      </w:r>
    </w:p>
    <w:p>
      <w:r>
        <w:t>Complete the results after each attempt, even if unsuccessful. Reminders are not part of these tasks.</w:t>
      </w:r>
    </w:p>
    <w:p>
      <w:pPr>
        <w:pStyle w:val="Heading1"/>
      </w:pPr>
      <w:r>
        <w:t>Optional timing</w:t>
      </w:r>
    </w:p>
    <w:p>
      <w:r>
        <w:t>Start a stopwatch after understanding the prompt. Stop when the task goal is reached. Include entering information in Carry. Exclude installation, waiting between tasks and filling in this sheet. If not timed, write NM instead of estimating. Note interruptions.</w:t>
      </w:r>
    </w:p>
    <w:p>
      <w:r>
        <w:br w:type="page"/>
      </w:r>
    </w:p>
    <w:p>
      <w:pPr>
        <w:pStyle w:val="Heading1"/>
      </w:pPr>
      <w:r>
        <w:t>Your responses</w:t>
      </w:r>
    </w:p>
    <w:p>
      <w:r>
        <w:t>Type in the cells and response spaces. For Yes / No questions, delete the option you do not choose.</w:t>
      </w:r>
    </w:p>
    <w:p>
      <w:r>
        <w:t>After each attempt, answer the Single Ease Question (SEQ):</w:t>
      </w:r>
    </w:p>
    <w:p>
      <w:r>
        <w:rPr>
          <w:b/>
        </w:rPr>
        <w:t>Overall, how difficult or easy did you find this task?</w:t>
      </w:r>
    </w:p>
    <w:p>
      <w:r>
        <w:t>1 = Very difficult. 7 = Very easy. Choose 1 to 7 even if unsuccessful. Leave SEQ blank if the task was not attempted.</w:t>
      </w:r>
    </w:p>
    <w:p>
      <w:r>
        <w:t>Completed: Yes, Partly, No or Not attempted. Help means assistance beyond these prompts. Time: seconds or NM if not measured.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3240"/>
        <w:gridCol w:w="1368"/>
        <w:gridCol w:w="1152"/>
        <w:gridCol w:w="1944"/>
      </w:tblGrid>
      <w:tr>
        <w:trPr>
          <w:trHeight w:val="576" w:hRule="atLeast"/>
          <w:cantSplit/>
          <w:tblHeader/>
        </w:trPr>
        <w:tc>
          <w:tcPr>
            <w:tcW w:type="dxa" w:w="936"/>
            <w:vAlign w:val="center"/>
            <w:shd w:fill="EDEDED"/>
          </w:tcPr>
          <w:p>
            <w:pPr>
              <w:spacing w:after="60" w:before="60"/>
              <w:jc w:val="center"/>
            </w:pPr>
            <w:r>
              <w:rPr>
                <w:b/>
              </w:rPr>
              <w:t>Task</w:t>
            </w:r>
          </w:p>
        </w:tc>
        <w:tc>
          <w:tcPr>
            <w:tcW w:type="dxa" w:w="3240"/>
            <w:vAlign w:val="center"/>
            <w:shd w:fill="EDEDED"/>
          </w:tcPr>
          <w:p>
            <w:pPr>
              <w:spacing w:after="60" w:before="60"/>
              <w:jc w:val="center"/>
            </w:pPr>
            <w:r>
              <w:rPr>
                <w:b/>
              </w:rPr>
              <w:t>Completed</w:t>
            </w:r>
          </w:p>
        </w:tc>
        <w:tc>
          <w:tcPr>
            <w:tcW w:type="dxa" w:w="1368"/>
            <w:vAlign w:val="center"/>
            <w:shd w:fill="EDEDED"/>
          </w:tcPr>
          <w:p>
            <w:pPr>
              <w:spacing w:after="60" w:before="60"/>
              <w:jc w:val="center"/>
            </w:pPr>
            <w:r>
              <w:rPr>
                <w:b/>
              </w:rPr>
              <w:t>Help Y/N</w:t>
            </w:r>
          </w:p>
        </w:tc>
        <w:tc>
          <w:tcPr>
            <w:tcW w:type="dxa" w:w="1152"/>
            <w:vAlign w:val="center"/>
            <w:shd w:fill="EDEDED"/>
          </w:tcPr>
          <w:p>
            <w:pPr>
              <w:spacing w:after="60" w:before="60"/>
              <w:jc w:val="center"/>
            </w:pPr>
            <w:r>
              <w:rPr>
                <w:b/>
              </w:rPr>
              <w:t>SEQ 1 to 7</w:t>
            </w:r>
          </w:p>
        </w:tc>
        <w:tc>
          <w:tcPr>
            <w:tcW w:type="dxa" w:w="1944"/>
            <w:vAlign w:val="center"/>
            <w:shd w:fill="EDEDED"/>
          </w:tcPr>
          <w:p>
            <w:pPr>
              <w:spacing w:after="60" w:before="60"/>
              <w:jc w:val="center"/>
            </w:pPr>
            <w:r>
              <w:rPr>
                <w:b/>
              </w:rPr>
              <w:t>Seconds or NM</w:t>
            </w:r>
          </w:p>
        </w:tc>
      </w:tr>
      <w:tr>
        <w:trPr>
          <w:trHeight w:val="576" w:hRule="atLeast"/>
          <w:cantSplit/>
        </w:trPr>
        <w:tc>
          <w:tcPr>
            <w:tcW w:type="dxa" w:w="936"/>
            <w:vAlign w:val="center"/>
          </w:tcPr>
          <w:p>
            <w:pPr>
              <w:spacing w:after="60" w:before="60"/>
              <w:jc w:val="center"/>
            </w:pPr>
            <w:r>
              <w:t>1</w:t>
            </w:r>
          </w:p>
        </w:tc>
        <w:tc>
          <w:tcPr>
            <w:tcW w:type="dxa" w:w="3240"/>
            <w:vAlign w:val="center"/>
          </w:tcPr>
          <w:p>
            <w:pPr>
              <w:spacing w:after="60" w:before="60"/>
              <w:jc w:val="center"/>
            </w:pPr>
          </w:p>
        </w:tc>
        <w:tc>
          <w:tcPr>
            <w:tcW w:type="dxa" w:w="1368"/>
            <w:vAlign w:val="center"/>
          </w:tcPr>
          <w:p>
            <w:pPr>
              <w:spacing w:after="60" w:before="60"/>
              <w:jc w:val="center"/>
            </w:pPr>
          </w:p>
        </w:tc>
        <w:tc>
          <w:tcPr>
            <w:tcW w:type="dxa" w:w="1152"/>
            <w:vAlign w:val="center"/>
          </w:tcPr>
          <w:p>
            <w:pPr>
              <w:spacing w:after="60" w:before="60"/>
              <w:jc w:val="center"/>
            </w:pPr>
          </w:p>
        </w:tc>
        <w:tc>
          <w:tcPr>
            <w:tcW w:type="dxa" w:w="1944"/>
            <w:vAlign w:val="center"/>
          </w:tcPr>
          <w:p>
            <w:pPr>
              <w:spacing w:after="60" w:before="60"/>
              <w:jc w:val="center"/>
            </w:pPr>
          </w:p>
        </w:tc>
      </w:tr>
      <w:tr>
        <w:trPr>
          <w:trHeight w:val="576" w:hRule="atLeast"/>
          <w:cantSplit/>
        </w:trPr>
        <w:tc>
          <w:tcPr>
            <w:tcW w:type="dxa" w:w="936"/>
            <w:vAlign w:val="center"/>
          </w:tcPr>
          <w:p>
            <w:pPr>
              <w:spacing w:after="60" w:before="60"/>
              <w:jc w:val="center"/>
            </w:pPr>
            <w:r>
              <w:t>2</w:t>
            </w:r>
          </w:p>
        </w:tc>
        <w:tc>
          <w:tcPr>
            <w:tcW w:type="dxa" w:w="3240"/>
            <w:vAlign w:val="center"/>
          </w:tcPr>
          <w:p>
            <w:pPr>
              <w:spacing w:after="60" w:before="60"/>
              <w:jc w:val="center"/>
            </w:pPr>
          </w:p>
        </w:tc>
        <w:tc>
          <w:tcPr>
            <w:tcW w:type="dxa" w:w="1368"/>
            <w:vAlign w:val="center"/>
          </w:tcPr>
          <w:p>
            <w:pPr>
              <w:spacing w:after="60" w:before="60"/>
              <w:jc w:val="center"/>
            </w:pPr>
          </w:p>
        </w:tc>
        <w:tc>
          <w:tcPr>
            <w:tcW w:type="dxa" w:w="1152"/>
            <w:vAlign w:val="center"/>
          </w:tcPr>
          <w:p>
            <w:pPr>
              <w:spacing w:after="60" w:before="60"/>
              <w:jc w:val="center"/>
            </w:pPr>
          </w:p>
        </w:tc>
        <w:tc>
          <w:tcPr>
            <w:tcW w:type="dxa" w:w="1944"/>
            <w:vAlign w:val="center"/>
          </w:tcPr>
          <w:p>
            <w:pPr>
              <w:spacing w:after="60" w:before="60"/>
              <w:jc w:val="center"/>
            </w:pPr>
          </w:p>
        </w:tc>
      </w:tr>
      <w:tr>
        <w:trPr>
          <w:trHeight w:val="576" w:hRule="atLeast"/>
          <w:cantSplit/>
        </w:trPr>
        <w:tc>
          <w:tcPr>
            <w:tcW w:type="dxa" w:w="936"/>
            <w:vAlign w:val="center"/>
          </w:tcPr>
          <w:p>
            <w:pPr>
              <w:spacing w:after="60" w:before="60"/>
              <w:jc w:val="center"/>
            </w:pPr>
            <w:r>
              <w:t>3</w:t>
            </w:r>
          </w:p>
        </w:tc>
        <w:tc>
          <w:tcPr>
            <w:tcW w:type="dxa" w:w="3240"/>
            <w:vAlign w:val="center"/>
          </w:tcPr>
          <w:p>
            <w:pPr>
              <w:spacing w:after="60" w:before="60"/>
              <w:jc w:val="center"/>
            </w:pPr>
          </w:p>
        </w:tc>
        <w:tc>
          <w:tcPr>
            <w:tcW w:type="dxa" w:w="1368"/>
            <w:vAlign w:val="center"/>
          </w:tcPr>
          <w:p>
            <w:pPr>
              <w:spacing w:after="60" w:before="60"/>
              <w:jc w:val="center"/>
            </w:pPr>
          </w:p>
        </w:tc>
        <w:tc>
          <w:tcPr>
            <w:tcW w:type="dxa" w:w="1152"/>
            <w:vAlign w:val="center"/>
          </w:tcPr>
          <w:p>
            <w:pPr>
              <w:spacing w:after="60" w:before="60"/>
              <w:jc w:val="center"/>
            </w:pPr>
          </w:p>
        </w:tc>
        <w:tc>
          <w:tcPr>
            <w:tcW w:type="dxa" w:w="1944"/>
            <w:vAlign w:val="center"/>
          </w:tcPr>
          <w:p>
            <w:pPr>
              <w:spacing w:after="60" w:before="60"/>
              <w:jc w:val="center"/>
            </w:pPr>
          </w:p>
        </w:tc>
      </w:tr>
    </w:tbl>
    <w:p/>
    <w:p>
      <w:pPr>
        <w:keepNext/>
      </w:pPr>
      <w:r>
        <w:rPr>
          <w:b/>
        </w:rPr>
        <w:t>Any problems, help or interruptions? Give the task number, or write None.</w:t>
      </w:r>
    </w:p>
    <w:p>
      <w:pPr>
        <w:spacing w:after="240"/>
      </w:pPr>
      <w:r>
        <w:t>[Write your response here]</w:t>
      </w:r>
    </w:p>
    <w:p>
      <w:pPr>
        <w:keepNext/>
      </w:pPr>
      <w:r>
        <w:rPr>
          <w:b/>
        </w:rPr>
        <w:t>After task 1, what was your trigger and planned action?</w:t>
      </w:r>
    </w:p>
    <w:p>
      <w:pPr>
        <w:spacing w:after="240"/>
      </w:pPr>
      <w:r>
        <w:t>[Write your response here]</w:t>
      </w:r>
    </w:p>
    <w:p>
      <w:pPr>
        <w:keepNext/>
      </w:pPr>
      <w:r>
        <w:rPr>
          <w:b/>
        </w:rPr>
        <w:t>After task 3, summarise the reflection you found.</w:t>
      </w:r>
    </w:p>
    <w:p>
      <w:pPr>
        <w:spacing w:after="240"/>
      </w:pPr>
      <w:r>
        <w:t>[Write your response here]</w:t>
      </w:r>
    </w:p>
    <w:p>
      <w:pPr>
        <w:keepNext/>
      </w:pPr>
      <w:r>
        <w:rPr>
          <w:b/>
        </w:rPr>
        <w:t>What would you change first?</w:t>
      </w:r>
    </w:p>
    <w:p>
      <w:pPr>
        <w:spacing w:after="240"/>
      </w:pPr>
      <w:r>
        <w:t>[Write your response here]</w:t>
      </w:r>
    </w:p>
    <w:p>
      <w:r>
        <w:t>Save this document using your participant label, for example P01.docx, and return it privately to Eirik. Do not add your name.</w:t>
      </w:r>
    </w:p>
    <w:p>
      <w:r>
        <w:rPr>
          <w:sz w:val="18"/>
        </w:rPr>
        <w:t xml:space="preserve">SEQ wording and scale: </w:t>
      </w:r>
      <w:hyperlink r:id="rId9">
        <w:r>
          <w:rPr>
            <w:u w:val="single"/>
          </w:rPr>
          <w:t>Sauro and Lewis (2024)</w:t>
        </w:r>
      </w:hyperlink>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10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line="245" w:lineRule="auto"/>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5"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5"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5" w:lineRule="auto" w:after="100"/>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easuringu.com/evolution-of-se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Carry participant test</dc:title>
  <dc:subject>Short remote app evaluation</dc:subject>
  <dc:creator>Eirik Enriquez</dc:creator>
  <cp:keywords/>
  <dc:description/>
  <cp:lastModifiedBy/>
  <cp:revision>1</cp:revision>
  <dcterms:created xsi:type="dcterms:W3CDTF">2013-12-23T23:15:00Z</dcterms:created>
  <dcterms:modified xsi:type="dcterms:W3CDTF">2013-12-23T23:15:00Z</dcterms:modified>
  <cp:category/>
</cp:coreProperties>
</file>