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6"/>
        </w:rPr>
        <w:t>ERIC MANCHESTER</w:t>
      </w:r>
    </w:p>
    <w:p>
      <w:pPr>
        <w:spacing w:before="0" w:after="120"/>
        <w:jc w:val="center"/>
      </w:pPr>
      <w:r>
        <w:rPr>
          <w:b w:val="0"/>
          <w:i w:val="0"/>
          <w:sz w:val="20"/>
        </w:rPr>
        <w:t>Rockville, MD  |  (240) 481-6737  |  eric.manchester@gmail.com  |  linkedin.com/in/eric-manchester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PROFESSIONAL SUMMARY</w:t>
      </w:r>
    </w:p>
    <w:p>
      <w:pPr>
        <w:spacing w:before="0" w:after="80"/>
      </w:pPr>
      <w:r>
        <w:rPr>
          <w:b w:val="0"/>
          <w:i w:val="0"/>
          <w:sz w:val="20"/>
        </w:rPr>
        <w:t>Staff-level architect with 20+ years designing distributed, cloud-native systems at enterprise scale — from early OTT infrastructure at AOL and Time Warner Cable to real-time interactive platforms and AI-driven personalization at NBCUniversal. Demonstrated track record of owning domain architecture end-to-end: clarifying requirements, driving tradeoffs, producing design artifacts, and enabling engineering teams to ship reliable, operable systems serving millions of users. Deep experience across microservices, event-driven architectures, API design, multi-platform integration patterns, and observability — with a consistent pattern of anticipating system-level risks before they become production incidents. Brings the same hands-on rigor to reference implementations and design reviews as to executive alignment and cross-functional delivery leadership.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CORE TECHNICAL SKILLS</w:t>
      </w:r>
    </w:p>
    <w:p>
      <w:pPr>
        <w:spacing w:before="0" w:after="40"/>
      </w:pPr>
      <w:r>
        <w:rPr>
          <w:b/>
          <w:sz w:val="20"/>
        </w:rPr>
        <w:t xml:space="preserve">Architecture &amp; Systems Design: </w:t>
      </w:r>
      <w:r>
        <w:rPr>
          <w:sz w:val="20"/>
        </w:rPr>
        <w:t>Distributed systems architecture, microservices design, event-driven architecture, API design &amp; contracts, data modeling, high-level &amp; low-level design documentation, fault tolerance &amp; resilience patterns</w:t>
      </w:r>
    </w:p>
    <w:p>
      <w:pPr>
        <w:spacing w:before="0" w:after="40"/>
      </w:pPr>
      <w:r>
        <w:rPr>
          <w:b/>
          <w:sz w:val="20"/>
        </w:rPr>
        <w:t xml:space="preserve">Data &amp; Integration: </w:t>
      </w:r>
      <w:r>
        <w:rPr>
          <w:sz w:val="20"/>
        </w:rPr>
        <w:t>Large-scale data pipeline architecture, dynamic ad insertion, CDN-based distribution, multi-vendor integration patterns, idempotency &amp; retry strategies, data quality &amp; lineage</w:t>
      </w:r>
    </w:p>
    <w:p>
      <w:pPr>
        <w:spacing w:before="0" w:after="40"/>
      </w:pPr>
      <w:r>
        <w:rPr>
          <w:b/>
          <w:sz w:val="20"/>
        </w:rPr>
        <w:t xml:space="preserve">AI/ML &amp; Platform: </w:t>
      </w:r>
      <w:r>
        <w:rPr>
          <w:sz w:val="20"/>
        </w:rPr>
        <w:t>AI/ML system productionization, real-time inference serving, GenAI pipeline orchestration, multi-model LLM orchestration, feature pipeline architecture</w:t>
      </w:r>
    </w:p>
    <w:p>
      <w:pPr>
        <w:spacing w:before="0" w:after="40"/>
      </w:pPr>
      <w:r>
        <w:rPr>
          <w:b/>
          <w:sz w:val="20"/>
        </w:rPr>
        <w:t xml:space="preserve">Observability &amp; Operability: </w:t>
      </w:r>
      <w:r>
        <w:rPr>
          <w:sz w:val="20"/>
        </w:rPr>
        <w:t>Metrics, logging &amp; tracing instrumentation, alerting design, runbook development, failure-mode analysis, incident response</w:t>
      </w:r>
    </w:p>
    <w:p>
      <w:pPr>
        <w:spacing w:before="0" w:after="40"/>
      </w:pPr>
      <w:r>
        <w:rPr>
          <w:b/>
          <w:sz w:val="20"/>
        </w:rPr>
        <w:t xml:space="preserve">Cloud &amp; Infrastructure: </w:t>
      </w:r>
      <w:r>
        <w:rPr>
          <w:sz w:val="20"/>
        </w:rPr>
        <w:t>Cloud-native architecture (AWS), multi-tenant service design, DRM &amp; content security, SaaS platform architecture, Agile delivery leadership</w:t>
      </w:r>
    </w:p>
    <w:p>
      <w:pPr>
        <w:spacing w:before="0" w:after="40"/>
      </w:pPr>
      <w:r>
        <w:rPr>
          <w:b/>
          <w:sz w:val="20"/>
        </w:rPr>
        <w:t xml:space="preserve">Leadership &amp; Enablement: </w:t>
      </w:r>
      <w:r>
        <w:rPr>
          <w:sz w:val="20"/>
        </w:rPr>
        <w:t>Design review facilitation, cross-functional stakeholder alignment, technical mentorship, executive communication, vendor evaluation &amp; management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PROFESSIONAL EXPERIENCE</w:t>
      </w:r>
    </w:p>
    <w:p>
      <w:pPr>
        <w:spacing w:before="120" w:after="0"/>
      </w:pPr>
      <w:r>
        <w:rPr>
          <w:b/>
          <w:sz w:val="22"/>
        </w:rPr>
        <w:t>Solutions Architect | Harmonic | 2025 – Present</w:t>
      </w:r>
    </w:p>
    <w:p>
      <w:pPr>
        <w:spacing w:before="0" w:after="40"/>
      </w:pPr>
      <w:r>
        <w:rPr>
          <w:b w:val="0"/>
          <w:i/>
          <w:sz w:val="18"/>
        </w:rPr>
        <w:t>Remote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 end-to-end solutions for tier-1 broadcasters adopting cloud-native media platforms, translating complex multi-system requirements into scalable, operable delivery architectures spanning ingest, processing, and distribution.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 pre-sales solution architectures for VOS360/XOS platform deployments, producing detailed design artifacts and API integration patterns that align customer technical requirements with platform capabilities.</w:t>
      </w:r>
    </w:p>
    <w:p>
      <w:pPr>
        <w:pStyle w:val="ListBullet"/>
        <w:spacing w:before="0" w:after="40"/>
        <w:ind w:left="360"/>
      </w:pPr>
      <w:r>
        <w:rPr>
          <w:sz w:val="20"/>
        </w:rPr>
        <w:t>Evaluate customer infrastructure stacks and define integration architectures — including SSAI and dynamic ad insertion — enabling broadcasters to modernize monetization pipelines without disrupting live operations.</w:t>
      </w:r>
    </w:p>
    <w:p>
      <w:pPr>
        <w:pStyle w:val="ListBullet"/>
        <w:spacing w:before="0" w:after="40"/>
        <w:ind w:left="360"/>
      </w:pPr>
      <w:r>
        <w:rPr>
          <w:sz w:val="20"/>
        </w:rPr>
        <w:t>Lead technical discovery sessions with engineering and C-suite stakeholders, identifying architectural risks and proposing phased adoption strategies that reduce deployment complexity and accelerate time-to-value.</w:t>
      </w:r>
    </w:p>
    <w:p>
      <w:pPr>
        <w:pStyle w:val="ListBullet"/>
        <w:spacing w:before="0" w:after="40"/>
        <w:ind w:left="360"/>
      </w:pPr>
      <w:r>
        <w:rPr>
          <w:sz w:val="20"/>
        </w:rPr>
        <w:t>Define scalability and fault-tolerance requirements for multi-platform delivery environments, ensuring proposed architectures meet reliability and performance SLOs under broadcast-grade load conditions.</w:t>
      </w:r>
    </w:p>
    <w:p>
      <w:pPr>
        <w:pStyle w:val="ListBullet"/>
        <w:spacing w:before="0" w:after="40"/>
        <w:ind w:left="360"/>
      </w:pPr>
      <w:r>
        <w:rPr>
          <w:sz w:val="20"/>
        </w:rPr>
        <w:t>Contribute reusable solution patterns and design standards across the solutions architecture practice, enabling consistent technical guidance across customer engagements and reducing duplicated pre-sales effort.</w:t>
      </w:r>
    </w:p>
    <w:p>
      <w:pPr>
        <w:spacing w:before="120" w:after="0"/>
      </w:pPr>
      <w:r>
        <w:rPr>
          <w:b/>
          <w:sz w:val="22"/>
        </w:rPr>
        <w:t>Founder and Principal R&amp;D Architect | RE Kreations LLC | 2017 – Present</w:t>
      </w:r>
    </w:p>
    <w:p>
      <w:pPr>
        <w:spacing w:before="0" w:after="40"/>
      </w:pPr>
      <w:r>
        <w:rPr>
          <w:b w:val="0"/>
          <w:i/>
          <w:sz w:val="18"/>
        </w:rPr>
        <w:t>Rockville, MD</w:t>
      </w:r>
    </w:p>
    <w:p>
      <w:pPr>
        <w:pStyle w:val="ListBullet"/>
        <w:spacing w:before="0" w:after="40"/>
        <w:ind w:left="360"/>
      </w:pPr>
      <w:r>
        <w:rPr>
          <w:sz w:val="20"/>
        </w:rPr>
        <w:t>Independently designed and built a multi-model LLM orchestration pipeline, architecting the full system from prompt engineering and model routing logic to API delivery — demonstrating hands-on distributed system design outside enterprise constraints.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a Python microservices backend with local-first data architecture, designing tenant-aware configuration, API contracts, and data isolation patterns suitable for multi-user SaaS deployment.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and iterated on AI inference workflows integrating multiple foundation models, establishing repeatable patterns for model selection, fallback logic, and output validation that mirror production ML serving concerns.</w:t>
      </w:r>
    </w:p>
    <w:p>
      <w:pPr>
        <w:pStyle w:val="ListBullet"/>
        <w:spacing w:before="0" w:after="40"/>
        <w:ind w:left="360"/>
      </w:pPr>
      <w:r>
        <w:rPr>
          <w:sz w:val="20"/>
        </w:rPr>
        <w:t>Operated as sole architect and engineer across the full stack — from data modeling and API design to cloud deployment and observability instrumentation — owning every layer of the system end-to-end.</w:t>
      </w:r>
    </w:p>
    <w:p>
      <w:pPr>
        <w:pStyle w:val="ListBullet"/>
        <w:spacing w:before="0" w:after="40"/>
        <w:ind w:left="360"/>
      </w:pPr>
      <w:r>
        <w:rPr>
          <w:sz w:val="20"/>
        </w:rPr>
        <w:t>Applied failure-mode thinking throughout development: designed retry logic, graceful degradation paths, and structured logging to surface errors in LLM responses before they affected downstream consumers.</w:t>
      </w:r>
    </w:p>
    <w:p>
      <w:pPr>
        <w:pStyle w:val="ListBullet"/>
        <w:spacing w:before="0" w:after="40"/>
        <w:ind w:left="360"/>
      </w:pPr>
      <w:r>
        <w:rPr>
          <w:sz w:val="20"/>
        </w:rPr>
        <w:t>Managed full product lifecycle from prototype to production for real customers, validating architecture decisions through measurable usage outcomes and iterating rapidly on both system design and user-facing behavior.</w:t>
      </w:r>
    </w:p>
    <w:p>
      <w:pPr>
        <w:spacing w:before="120" w:after="0"/>
      </w:pPr>
      <w:r>
        <w:rPr>
          <w:b/>
          <w:sz w:val="22"/>
        </w:rPr>
        <w:t>Principal End-to-End Architect | NBCUniversal | 2021 – 2025</w:t>
      </w:r>
    </w:p>
    <w:p>
      <w:pPr>
        <w:spacing w:before="0" w:after="40"/>
      </w:pPr>
      <w:r>
        <w:rPr>
          <w:b w:val="0"/>
          <w:i/>
          <w:sz w:val="18"/>
        </w:rPr>
        <w:t>Remote</w:t>
      </w:r>
    </w:p>
    <w:p>
      <w:pPr>
        <w:spacing w:before="0" w:after="40"/>
      </w:pPr>
      <w:r>
        <w:rPr>
          <w:b w:val="0"/>
          <w:i/>
          <w:sz w:val="20"/>
        </w:rPr>
        <w:t>During organizational restructuring in early 2025, I transitioned from NBCUniversal.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the Key Plays feature — a near-real-time AI/ML sports highlights system — designing the end-to-end pipeline from signal ingestion through ML inference to personalized video delivery, resulting in an Emmy Award-recognized product shipped at Olympic scale.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the Olympic Daily Recap system producing 7M+ personalized video variants using GenAI voice synthesis, architecting the orchestration pipeline, data flow, and delivery infrastructure to handle variant generation at scale with consistent output quality.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the Overlay Core Service — an in-house interactive platform replacing expensive vendor solutions — designing a metadata-driven trigger architecture, standardized live/VOD API contracts, and frame-accurate broadcast integration, deployed globally across Peacock, Sky, and Showmax.</w:t>
      </w:r>
    </w:p>
    <w:p>
      <w:pPr>
        <w:pStyle w:val="ListBullet"/>
        <w:spacing w:before="0" w:after="40"/>
        <w:ind w:left="360"/>
      </w:pPr>
      <w:r>
        <w:rPr>
          <w:sz w:val="20"/>
        </w:rPr>
        <w:t>Drove end-to-end architecture for cross-platform interactive experiences (Live Actions), producing high-level and low-level design artifacts, leading design reviews with product and engineering stakeholders, and establishing reusable API patterns that accelerated delivery of subsequent features.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ad tech integrations and SSAI architectures that achieved 200%+ revenue growth, establishing reliable activation patterns — including idempotency, retry handling, and versioning — that met monetization SLOs under live broadcast load.</w:t>
      </w:r>
    </w:p>
    <w:p>
      <w:pPr>
        <w:pStyle w:val="ListBullet"/>
        <w:spacing w:before="0" w:after="40"/>
        <w:ind w:left="360"/>
      </w:pPr>
      <w:r>
        <w:rPr>
          <w:sz w:val="20"/>
        </w:rPr>
        <w:t>Established observability and operability standards across interactive platform services, defining instrumentation requirements, alerting thresholds, and failure-mode runbooks that improved incident response and reduced mean time to resolution during live events.</w:t>
      </w:r>
    </w:p>
    <w:p>
      <w:pPr>
        <w:spacing w:before="120" w:after="0"/>
      </w:pPr>
      <w:r>
        <w:rPr>
          <w:b/>
          <w:sz w:val="22"/>
        </w:rPr>
        <w:t>Innovation and Emerging Technology Lead | Leidos | 2019 – 2020</w:t>
      </w:r>
    </w:p>
    <w:p>
      <w:pPr>
        <w:spacing w:before="0" w:after="40"/>
      </w:pPr>
      <w:r>
        <w:rPr>
          <w:b w:val="0"/>
          <w:i/>
          <w:sz w:val="18"/>
        </w:rPr>
        <w:t>Washington, DC</w:t>
      </w:r>
    </w:p>
    <w:p>
      <w:pPr>
        <w:pStyle w:val="ListBullet"/>
        <w:spacing w:before="0" w:after="40"/>
        <w:ind w:left="360"/>
      </w:pPr>
      <w:r>
        <w:rPr>
          <w:sz w:val="20"/>
        </w:rPr>
        <w:t>Provided emerging technology architecture consultation for government and enterprise clients, evaluating distributed system approaches and producing design recommendations aligned to scalability, security, and compliance requirements.</w:t>
      </w:r>
    </w:p>
    <w:p>
      <w:pPr>
        <w:pStyle w:val="ListBullet"/>
        <w:spacing w:before="0" w:after="40"/>
        <w:ind w:left="360"/>
      </w:pPr>
      <w:r>
        <w:rPr>
          <w:sz w:val="20"/>
        </w:rPr>
        <w:t>Led technical discovery and solution scoping engagements, translating ambiguous government sector requirements into structured architecture proposals with defined tradeoffs, risk assessments, and phased delivery strategies.</w:t>
      </w:r>
    </w:p>
    <w:p>
      <w:pPr>
        <w:pStyle w:val="ListBullet"/>
        <w:spacing w:before="0" w:after="40"/>
        <w:ind w:left="360"/>
      </w:pPr>
      <w:r>
        <w:rPr>
          <w:sz w:val="20"/>
        </w:rPr>
        <w:t>Developed reference architectures for cloud-native adoption within enterprise environments, establishing patterns for API design, service integration, and data flow that addressed fault tolerance and operational reliability constraints.</w:t>
      </w:r>
    </w:p>
    <w:p>
      <w:pPr>
        <w:pStyle w:val="ListBullet"/>
        <w:spacing w:before="0" w:after="40"/>
        <w:ind w:left="360"/>
      </w:pPr>
      <w:r>
        <w:rPr>
          <w:sz w:val="20"/>
        </w:rPr>
        <w:t>Acted as technical authority in pre- and post-sales engagements, aligning engineering teams and executive stakeholders on architecture decisions through clear design rationale and pragmatic tradeoff analysis.</w:t>
      </w:r>
    </w:p>
    <w:p>
      <w:pPr>
        <w:pStyle w:val="ListBullet"/>
        <w:spacing w:before="0" w:after="40"/>
        <w:ind w:left="360"/>
      </w:pPr>
      <w:r>
        <w:rPr>
          <w:sz w:val="20"/>
        </w:rPr>
        <w:t>Identified architectural risks in proposed system designs early in the engagement cycle, driving mitigation plans that reduced downstream delivery surprises and improved client confidence in solution viability.</w:t>
      </w:r>
    </w:p>
    <w:p>
      <w:pPr>
        <w:spacing w:before="120" w:after="0"/>
      </w:pPr>
      <w:r>
        <w:rPr>
          <w:b/>
          <w:sz w:val="22"/>
        </w:rPr>
        <w:t>Sr. Solutions Architect | Ooyala | 2017 – 2018</w:t>
      </w:r>
    </w:p>
    <w:p>
      <w:pPr>
        <w:spacing w:before="0" w:after="40"/>
      </w:pPr>
      <w:r>
        <w:rPr>
          <w:b w:val="0"/>
          <w:i/>
          <w:sz w:val="18"/>
        </w:rPr>
        <w:t>Remote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end-to-end SaaS media lifecycle solution architectures for enterprise clients, translating complex multi-platform content workflows into scalable integration designs spanning ingest, processing, distribution, and playback.</w:t>
      </w:r>
    </w:p>
    <w:p>
      <w:pPr>
        <w:pStyle w:val="ListBullet"/>
        <w:spacing w:before="0" w:after="40"/>
        <w:ind w:left="360"/>
      </w:pPr>
      <w:r>
        <w:rPr>
          <w:sz w:val="20"/>
        </w:rPr>
        <w:t>Aligned with client C-suite and engineering stakeholders to define architecture requirements, producing design artifacts and API integration specifications that bridged business objectives with technical delivery constraints.</w:t>
      </w:r>
    </w:p>
    <w:p>
      <w:pPr>
        <w:pStyle w:val="ListBullet"/>
        <w:spacing w:before="0" w:after="40"/>
        <w:ind w:left="360"/>
      </w:pPr>
      <w:r>
        <w:rPr>
          <w:sz w:val="20"/>
        </w:rPr>
        <w:t>Evaluated and recommended integration patterns for connecting Ooyala platform capabilities with existing client infrastructure, establishing reliable data flow and activation patterns that reduced implementation risk.</w:t>
      </w:r>
    </w:p>
    <w:p>
      <w:pPr>
        <w:pStyle w:val="ListBullet"/>
        <w:spacing w:before="0" w:after="40"/>
        <w:ind w:left="360"/>
      </w:pPr>
      <w:r>
        <w:rPr>
          <w:sz w:val="20"/>
        </w:rPr>
        <w:t>Identified scalability and reliability gaps in proposed client architectures, driving redesign recommendations that improved fault tolerance and reduced operational burden before solutions reached production.</w:t>
      </w:r>
    </w:p>
    <w:p>
      <w:pPr>
        <w:pStyle w:val="ListBullet"/>
        <w:spacing w:before="0" w:after="40"/>
        <w:ind w:left="360"/>
      </w:pPr>
      <w:r>
        <w:rPr>
          <w:sz w:val="20"/>
        </w:rPr>
        <w:t>Contributed reusable integration patterns and solution frameworks across the solutions architecture practice, enabling consistent technical guidance for complex enterprise media workflow engagements.</w:t>
      </w:r>
    </w:p>
    <w:p>
      <w:pPr>
        <w:spacing w:before="120" w:after="0"/>
      </w:pPr>
      <w:r>
        <w:rPr>
          <w:b/>
          <w:sz w:val="22"/>
        </w:rPr>
        <w:t>Principal Engineer, Video-On-Demand | Time Warner Cable | 2012 – 2017</w:t>
      </w:r>
    </w:p>
    <w:p>
      <w:pPr>
        <w:spacing w:before="0" w:after="40"/>
      </w:pPr>
      <w:r>
        <w:rPr>
          <w:b w:val="0"/>
          <w:i/>
          <w:sz w:val="18"/>
        </w:rPr>
        <w:t>Remote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the centralization of all VOD content acquisition and distribution across the set-top box environment, designing a unified headend that consolidated regional workflows, improved scalability, and reduced operational costs across a platform serving millions of subscribers.</w:t>
      </w:r>
    </w:p>
    <w:p>
      <w:pPr>
        <w:pStyle w:val="ListBullet"/>
        <w:spacing w:before="0" w:after="40"/>
        <w:ind w:left="360"/>
      </w:pPr>
      <w:r>
        <w:rPr>
          <w:sz w:val="20"/>
        </w:rPr>
        <w:t>Served as principal architect on the TWCTV application — recognized with an Emmy Award — designing the VOD and advertising subsystems including dynamic ad insertion, content processing pipelines, and CDN-based distribution architecture.</w:t>
      </w:r>
    </w:p>
    <w:p>
      <w:pPr>
        <w:pStyle w:val="ListBullet"/>
        <w:spacing w:before="0" w:after="40"/>
        <w:ind w:left="360"/>
      </w:pPr>
      <w:r>
        <w:rPr>
          <w:sz w:val="20"/>
        </w:rPr>
        <w:t>Directed implementation of just-in-time encryption DRM solutions, designing the security architecture to meet emerging content protection requirements while maintaining scalability for high-volume VOD delivery.</w:t>
      </w:r>
    </w:p>
    <w:p>
      <w:pPr>
        <w:pStyle w:val="ListBullet"/>
        <w:spacing w:before="0" w:after="40"/>
        <w:ind w:left="360"/>
      </w:pPr>
      <w:r>
        <w:rPr>
          <w:sz w:val="20"/>
        </w:rPr>
        <w:t>Anticipated accelerating OTT adoption ahead of market inflection; built prototypes that shaped TWCTV's architecture for DRM and dynamic ad insertion, securing executive buy-in for platform changes before competitive pressure forced reactive redesigns.</w:t>
      </w:r>
    </w:p>
    <w:p>
      <w:pPr>
        <w:pStyle w:val="ListBullet"/>
        <w:spacing w:before="0" w:after="40"/>
        <w:ind w:left="360"/>
      </w:pPr>
      <w:r>
        <w:rPr>
          <w:sz w:val="20"/>
        </w:rPr>
        <w:t>Evaluated and integrated multiple simultaneous hardware, software, and SaaS providers into a coherent delivery architecture, defining integration contracts and coordination patterns across a complex multi-vendor ecosystem.</w:t>
      </w:r>
    </w:p>
    <w:p>
      <w:pPr>
        <w:pStyle w:val="ListBullet"/>
        <w:spacing w:before="0" w:after="40"/>
        <w:ind w:left="360"/>
      </w:pPr>
      <w:r>
        <w:rPr>
          <w:sz w:val="20"/>
        </w:rPr>
        <w:t>Operated as lead architect and individual contributor, determining technical direction, producing design documentation, and aligning stakeholders from engineers to C-suite on platform architecture decisions.</w:t>
      </w:r>
    </w:p>
    <w:p>
      <w:pPr>
        <w:spacing w:before="120" w:after="0"/>
      </w:pPr>
      <w:r>
        <w:rPr>
          <w:b/>
          <w:sz w:val="22"/>
        </w:rPr>
        <w:t>Manager, Digital Media Delivery | Time Warner Cable | 2006 – 2012</w:t>
      </w:r>
    </w:p>
    <w:p>
      <w:pPr>
        <w:spacing w:before="0" w:after="40"/>
      </w:pPr>
      <w:r>
        <w:rPr>
          <w:b w:val="0"/>
          <w:i/>
          <w:sz w:val="18"/>
        </w:rPr>
        <w:t>Sterling, VA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early OTT streaming architectures and ad monetization systems that achieved 350%+ ad revenue growth, establishing dynamic ad insertion patterns and CDN distribution designs that proved durable across subsequent platform generations.</w:t>
      </w:r>
    </w:p>
    <w:p>
      <w:pPr>
        <w:pStyle w:val="ListBullet"/>
        <w:spacing w:before="0" w:after="40"/>
        <w:ind w:left="360"/>
      </w:pPr>
      <w:r>
        <w:rPr>
          <w:sz w:val="20"/>
        </w:rPr>
        <w:t>Led the SaaS transition for digital media delivery infrastructure, architecting cloud-adjacent service integrations that improved operational scalability and reduced dependency on legacy hardware-bound workflows.</w:t>
      </w:r>
    </w:p>
    <w:p>
      <w:pPr>
        <w:pStyle w:val="ListBullet"/>
        <w:spacing w:before="0" w:after="40"/>
        <w:ind w:left="360"/>
      </w:pPr>
      <w:r>
        <w:rPr>
          <w:sz w:val="20"/>
        </w:rPr>
        <w:t>Acted as SME across engineering and executive stakeholders for content acquisition, processing, CDN-based distribution, and user playback — translating complex technical tradeoffs into actionable decisions for non-technical audiences.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multi-format video delivery architectures supporting emerging streaming standards, establishing encoding, transcoding, and distribution patterns that scaled to meet growing subscriber demand.</w:t>
      </w:r>
    </w:p>
    <w:p>
      <w:pPr>
        <w:pStyle w:val="ListBullet"/>
        <w:spacing w:before="0" w:after="40"/>
        <w:ind w:left="360"/>
      </w:pPr>
      <w:r>
        <w:rPr>
          <w:sz w:val="20"/>
        </w:rPr>
        <w:t>Managed vendor evaluation and integration across hardware, software, and SaaS providers, defining coordination patterns and integration contracts that maintained system reliability despite multi-vendor complexity.</w:t>
      </w:r>
    </w:p>
    <w:p>
      <w:pPr>
        <w:pStyle w:val="ListBullet"/>
        <w:spacing w:before="0" w:after="40"/>
        <w:ind w:left="360"/>
      </w:pPr>
      <w:r>
        <w:rPr>
          <w:sz w:val="20"/>
        </w:rPr>
        <w:t>Identified emerging scalability risks in the digital media delivery stack and drove architecture changes proactively, preventing capacity-related failures during high-traffic live event delivery.</w:t>
      </w:r>
    </w:p>
    <w:p>
      <w:pPr>
        <w:spacing w:before="120" w:after="0"/>
      </w:pPr>
      <w:r>
        <w:rPr>
          <w:b/>
          <w:sz w:val="22"/>
        </w:rPr>
        <w:t>Sr. Live Events Producer | AOL | 2001 – 2006</w:t>
      </w:r>
    </w:p>
    <w:p>
      <w:pPr>
        <w:spacing w:before="0" w:after="40"/>
      </w:pPr>
      <w:r>
        <w:rPr>
          <w:b w:val="0"/>
          <w:i/>
          <w:sz w:val="18"/>
        </w:rPr>
        <w:t>Sterling, VA</w:t>
      </w:r>
    </w:p>
    <w:p>
      <w:pPr>
        <w:pStyle w:val="ListBullet"/>
        <w:spacing w:before="0" w:after="40"/>
        <w:ind w:left="360"/>
      </w:pPr>
      <w:r>
        <w:rPr>
          <w:sz w:val="20"/>
        </w:rPr>
        <w:t>Architected and operated the first all-digital broadcast operations center for streaming and OTT delivery — a greenfield infrastructure design that established foundational patterns for large-scale live event streaming before the category had established norms.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the streaming delivery infrastructure for the Live 8 Concert, achieving a world record for concurrent streaming across 8 simultaneous global sites — an early proof point for distributed, fault-tolerant live event architecture at scale.</w:t>
      </w:r>
    </w:p>
    <w:p>
      <w:pPr>
        <w:pStyle w:val="ListBullet"/>
        <w:spacing w:before="0" w:after="40"/>
        <w:ind w:left="360"/>
      </w:pPr>
      <w:r>
        <w:rPr>
          <w:sz w:val="20"/>
        </w:rPr>
        <w:t>Built end-to-end live event production and delivery systems from ingest through distribution, independently owning every architectural layer and establishing operational runbooks for live broadcast reliability.</w:t>
      </w:r>
    </w:p>
    <w:p>
      <w:pPr>
        <w:pStyle w:val="ListBullet"/>
        <w:spacing w:before="0" w:after="40"/>
        <w:ind w:left="360"/>
      </w:pPr>
      <w:r>
        <w:rPr>
          <w:sz w:val="20"/>
        </w:rPr>
        <w:t>Designed multi-site distribution architectures for concurrent global streaming, solving CDN coordination, failover, and signal routing challenges that prefigured modern multi-region reliability patterns.</w:t>
      </w:r>
    </w:p>
    <w:p>
      <w:pPr>
        <w:pStyle w:val="ListBullet"/>
        <w:spacing w:before="0" w:after="40"/>
        <w:ind w:left="360"/>
      </w:pPr>
      <w:r>
        <w:rPr>
          <w:sz w:val="20"/>
        </w:rPr>
        <w:t>Established observability and incident response practices for live streaming operations, defining monitoring instrumentation and failure-mode procedures that maintained delivery reliability during high-visibility global events.</w:t>
      </w:r>
    </w:p>
    <w:p>
      <w:pPr>
        <w:pStyle w:val="ListBullet"/>
        <w:spacing w:before="0" w:after="40"/>
        <w:ind w:left="360"/>
      </w:pPr>
      <w:r>
        <w:rPr>
          <w:sz w:val="20"/>
        </w:rPr>
        <w:t>Delivered Emmy Award-recognized streaming innovation at a time when the infrastructure category was nascent, demonstrating the ability to architect reliable systems under conditions of high ambiguity and minimal industry precedent.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PATENTS (7 Granted | 4 Pending)</w:t>
      </w:r>
    </w:p>
    <w:p>
      <w:pPr>
        <w:spacing w:before="0" w:after="40"/>
      </w:pPr>
      <w:r>
        <w:rPr>
          <w:b/>
          <w:i w:val="0"/>
          <w:sz w:val="20"/>
        </w:rPr>
        <w:t>Granted:</w:t>
      </w:r>
    </w:p>
    <w:p>
      <w:pPr>
        <w:pStyle w:val="ListBullet"/>
        <w:spacing w:before="0" w:after="40"/>
        <w:ind w:left="360"/>
      </w:pPr>
      <w:r>
        <w:rPr>
          <w:sz w:val="20"/>
        </w:rPr>
        <w:t>US 8,028,092 — Inserting Advertising Content (AOL, 2011)</w:t>
      </w:r>
    </w:p>
    <w:p>
      <w:pPr>
        <w:pStyle w:val="ListBullet"/>
        <w:spacing w:before="0" w:after="40"/>
        <w:ind w:left="360"/>
      </w:pPr>
      <w:r>
        <w:rPr>
          <w:sz w:val="20"/>
        </w:rPr>
        <w:t>US 8,762,575 — Inserting Advertising Content (Time Warner Cable, 2014)</w:t>
      </w:r>
    </w:p>
    <w:p>
      <w:pPr>
        <w:pStyle w:val="ListBullet"/>
        <w:spacing w:before="0" w:after="40"/>
        <w:ind w:left="360"/>
      </w:pPr>
      <w:r>
        <w:rPr>
          <w:sz w:val="20"/>
        </w:rPr>
        <w:t>US 8,769,151 — Adding Advertising Content to Media Content (Time Warner Cable, 2014)</w:t>
      </w:r>
    </w:p>
    <w:p>
      <w:pPr>
        <w:pStyle w:val="ListBullet"/>
        <w:spacing w:before="0" w:after="40"/>
        <w:ind w:left="360"/>
      </w:pPr>
      <w:r>
        <w:rPr>
          <w:sz w:val="20"/>
        </w:rPr>
        <w:t>US 10,375,452 — Apparatus and Methods for Thumbnail Generation (NBCUniversal, 2019)</w:t>
      </w:r>
    </w:p>
    <w:p>
      <w:pPr>
        <w:pStyle w:val="ListBullet"/>
        <w:spacing w:before="0" w:after="40"/>
        <w:ind w:left="360"/>
      </w:pPr>
      <w:r>
        <w:rPr>
          <w:sz w:val="20"/>
        </w:rPr>
        <w:t>US 10,667,018 — Asynchronous Workflows (NBCUniversal, 2020)</w:t>
      </w:r>
    </w:p>
    <w:p>
      <w:pPr>
        <w:pStyle w:val="ListBullet"/>
        <w:spacing w:before="0" w:after="40"/>
        <w:ind w:left="360"/>
      </w:pPr>
      <w:r>
        <w:rPr>
          <w:sz w:val="20"/>
        </w:rPr>
        <w:t>US 11,310,567 — Apparatus and Methods for Thumbnail Generation (Time Warner Cable, 2022)</w:t>
      </w:r>
    </w:p>
    <w:p>
      <w:pPr>
        <w:pStyle w:val="ListBullet"/>
        <w:spacing w:before="0" w:after="40"/>
        <w:ind w:left="360"/>
      </w:pPr>
      <w:r>
        <w:rPr>
          <w:sz w:val="20"/>
        </w:rPr>
        <w:t>US 12,382,148 — Apparatus and Methods for Thumbnail Generation (AOL, 2025)</w:t>
      </w:r>
    </w:p>
    <w:p>
      <w:pPr>
        <w:spacing w:before="0" w:after="40"/>
      </w:pPr>
      <w:r>
        <w:rPr>
          <w:b/>
          <w:i w:val="0"/>
          <w:sz w:val="20"/>
        </w:rPr>
        <w:t>Pending:</w:t>
      </w:r>
    </w:p>
    <w:p>
      <w:pPr>
        <w:pStyle w:val="ListBullet"/>
        <w:spacing w:before="0" w:after="40"/>
        <w:ind w:left="360"/>
      </w:pPr>
      <w:r>
        <w:rPr>
          <w:sz w:val="20"/>
        </w:rPr>
        <w:t>US 20,250,203,152 — Timed Metadata for Overlays (NBCUniversal, 2025)</w:t>
      </w:r>
    </w:p>
    <w:p>
      <w:pPr>
        <w:pStyle w:val="ListBullet"/>
        <w:spacing w:before="0" w:after="40"/>
        <w:ind w:left="360"/>
      </w:pPr>
      <w:r>
        <w:rPr>
          <w:sz w:val="20"/>
        </w:rPr>
        <w:t>US 20,240,430,496 — Dynamic In-Scene Secondary Content Insertion (NBCUniversal, 2024)</w:t>
      </w:r>
    </w:p>
    <w:p>
      <w:pPr>
        <w:pStyle w:val="ListBullet"/>
        <w:spacing w:before="0" w:after="40"/>
        <w:ind w:left="360"/>
      </w:pPr>
      <w:r>
        <w:rPr>
          <w:sz w:val="20"/>
        </w:rPr>
        <w:t>US 20,140,351,852 — Inserting Advertising Content (Facebook, 2014)</w:t>
      </w:r>
    </w:p>
    <w:p>
      <w:pPr>
        <w:pStyle w:val="ListBullet"/>
        <w:spacing w:before="0" w:after="40"/>
        <w:ind w:left="360"/>
      </w:pPr>
      <w:r>
        <w:rPr>
          <w:sz w:val="20"/>
        </w:rPr>
        <w:t>US 20,140,351,853 — Inserting Advertising Content (Facebook, 2014)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AWARDS</w:t>
      </w:r>
    </w:p>
    <w:p>
      <w:pPr>
        <w:pStyle w:val="ListBullet"/>
        <w:spacing w:before="0" w:after="40"/>
        <w:ind w:left="360"/>
      </w:pPr>
      <w:r>
        <w:rPr>
          <w:sz w:val="20"/>
        </w:rPr>
        <w:t>Outstanding Interactive Experience Emmy Award (2025) — NBCUniversal, Paris 2024 Olympics; individually named Software Developer</w:t>
      </w:r>
    </w:p>
    <w:p>
      <w:pPr>
        <w:pStyle w:val="ListBullet"/>
        <w:spacing w:before="0" w:after="40"/>
        <w:ind w:left="360"/>
      </w:pPr>
      <w:r>
        <w:rPr>
          <w:sz w:val="20"/>
        </w:rPr>
        <w:t>Technology &amp; Engineering Emmy Award (2023) — NBCUniversal, Key Plays AI/ML sports highlights platform</w:t>
      </w:r>
    </w:p>
    <w:p>
      <w:pPr>
        <w:pStyle w:val="ListBullet"/>
        <w:spacing w:before="0" w:after="40"/>
        <w:ind w:left="360"/>
      </w:pPr>
      <w:r>
        <w:rPr>
          <w:sz w:val="20"/>
        </w:rPr>
        <w:t>Emmy Award (2014) — Time Warner Cable, TWCTV Application (OTT innovation)</w:t>
      </w:r>
    </w:p>
    <w:p>
      <w:pPr>
        <w:pStyle w:val="ListBullet"/>
        <w:spacing w:before="0" w:after="40"/>
        <w:ind w:left="360"/>
      </w:pPr>
      <w:r>
        <w:rPr>
          <w:sz w:val="20"/>
        </w:rPr>
        <w:t>Emmy Award (2005) — AOL, Live 8 Concert (world-record concurrent live streaming)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PROFESSIONAL AFFILIATIONS</w:t>
      </w:r>
    </w:p>
    <w:p>
      <w:pPr>
        <w:pStyle w:val="ListBullet"/>
        <w:spacing w:before="0" w:after="40"/>
        <w:ind w:left="360"/>
      </w:pPr>
      <w:r>
        <w:rPr>
          <w:sz w:val="20"/>
        </w:rPr>
        <w:t>Television Academy — Science and Technology Peer Group Member</w:t>
      </w:r>
    </w:p>
    <w:p>
      <w:pPr>
        <w:spacing w:before="160" w:after="40"/>
        <w:pBdr>
          <w:bottom w:val="single" w:sz="6" w:space="1" w:color="888888"/>
        </w:pBdr>
      </w:pPr>
      <w:r>
        <w:rPr>
          <w:b/>
          <w:color w:val="1F3A5F"/>
          <w:sz w:val="24"/>
        </w:rPr>
        <w:t>EDUCATION</w:t>
      </w:r>
    </w:p>
    <w:p>
      <w:pPr>
        <w:spacing w:before="0" w:after="40"/>
      </w:pPr>
      <w:r>
        <w:rPr>
          <w:b w:val="0"/>
          <w:i w:val="0"/>
          <w:sz w:val="20"/>
        </w:rPr>
        <w:t>University of Maryland, College Park | 1990 – 1994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