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ERIC MANCHESTER</w:t>
      </w:r>
    </w:p>
    <w:p>
      <w:pPr>
        <w:spacing w:before="0" w:after="120"/>
        <w:jc w:val="center"/>
      </w:pPr>
      <w:r>
        <w:rPr>
          <w:b w:val="0"/>
          <w:i w:val="0"/>
          <w:sz w:val="20"/>
        </w:rPr>
        <w:t>Rockville, MD  |  (240) 481-6737  |  eric.manchester@gmail.com  |  linkedin.com/in/eric-manchester</w:t>
      </w:r>
    </w:p>
    <w:p>
      <w:pPr>
        <w:spacing w:before="160" w:after="40"/>
        <w:pBdr>
          <w:bottom w:val="single" w:sz="6" w:space="1" w:color="888888"/>
        </w:pBdr>
      </w:pPr>
      <w:r>
        <w:rPr>
          <w:b/>
          <w:color w:val="1F3A5F"/>
          <w:sz w:val="24"/>
        </w:rPr>
        <w:t>PROFESSIONAL SUMMARY</w:t>
      </w:r>
    </w:p>
    <w:p>
      <w:pPr>
        <w:spacing w:before="0" w:after="80"/>
      </w:pPr>
      <w:r>
        <w:rPr>
          <w:b w:val="0"/>
          <w:i w:val="0"/>
          <w:sz w:val="20"/>
        </w:rPr>
        <w:t>Staff-level architect with 20+ years designing and delivering distributed, data-intensive systems at scale — spanning real-time streaming infrastructure, event-driven pipelines, multi-tenant platform architecture, and deep GTM integrations. Proven track record of owning end-to-end architecture for complex domains: translating ambiguous requirements into high-quality design artifacts, driving cross-functional alignment, and enabling engineering teams to ship reliably in production. Hands-on where it matters — through reference implementations, prototypes, and critical-path contributions that reduce risk and accelerate delivery. Brings a systems-thinking approach to observability, fault tolerance, and operability that keeps large-scale platforms healthy under real-world load.</w:t>
      </w:r>
    </w:p>
    <w:p>
      <w:pPr>
        <w:spacing w:before="160" w:after="40"/>
        <w:pBdr>
          <w:bottom w:val="single" w:sz="6" w:space="1" w:color="888888"/>
        </w:pBdr>
      </w:pPr>
      <w:r>
        <w:rPr>
          <w:b/>
          <w:color w:val="1F3A5F"/>
          <w:sz w:val="24"/>
        </w:rPr>
        <w:t>CORE TECHNICAL SKILLS</w:t>
      </w:r>
    </w:p>
    <w:p>
      <w:pPr>
        <w:spacing w:before="0" w:after="40"/>
      </w:pPr>
      <w:r>
        <w:rPr>
          <w:b/>
          <w:sz w:val="20"/>
        </w:rPr>
        <w:t xml:space="preserve">Architecture &amp; Systems Design: </w:t>
      </w:r>
      <w:r>
        <w:rPr>
          <w:sz w:val="20"/>
        </w:rPr>
        <w:t>Distributed systems architecture, microservices, event-driven architecture, API design, data modeling, high-level and low-level design artifacts</w:t>
      </w:r>
    </w:p>
    <w:p>
      <w:pPr>
        <w:spacing w:before="0" w:after="40"/>
      </w:pPr>
      <w:r>
        <w:rPr>
          <w:b/>
          <w:sz w:val="20"/>
        </w:rPr>
        <w:t xml:space="preserve">Data &amp; Integration: </w:t>
      </w:r>
      <w:r>
        <w:rPr>
          <w:sz w:val="20"/>
        </w:rPr>
        <w:t>Real-time data ingestion pipelines, dynamic ad insertion, CDN-based distribution, multi-vendor integration, integration patterns</w:t>
      </w:r>
    </w:p>
    <w:p>
      <w:pPr>
        <w:spacing w:before="0" w:after="40"/>
      </w:pPr>
      <w:r>
        <w:rPr>
          <w:b/>
          <w:sz w:val="20"/>
        </w:rPr>
        <w:t xml:space="preserve">Platform &amp; Cloud: </w:t>
      </w:r>
      <w:r>
        <w:rPr>
          <w:sz w:val="20"/>
        </w:rPr>
        <w:t>Cloud-native platform design, multi-tenant architecture, AWS, scalable content delivery infrastructure</w:t>
      </w:r>
    </w:p>
    <w:p>
      <w:pPr>
        <w:spacing w:before="0" w:after="40"/>
      </w:pPr>
      <w:r>
        <w:rPr>
          <w:b/>
          <w:sz w:val="20"/>
        </w:rPr>
        <w:t xml:space="preserve">Reliability &amp; Operability: </w:t>
      </w:r>
      <w:r>
        <w:rPr>
          <w:sz w:val="20"/>
        </w:rPr>
        <w:t>Fault tolerance, resilience patterns, observability, system instrumentation, failure-mode analysis</w:t>
      </w:r>
    </w:p>
    <w:p>
      <w:pPr>
        <w:spacing w:before="0" w:after="40"/>
      </w:pPr>
      <w:r>
        <w:rPr>
          <w:b/>
          <w:sz w:val="20"/>
        </w:rPr>
        <w:t xml:space="preserve">Leadership &amp; Delivery: </w:t>
      </w:r>
      <w:r>
        <w:rPr>
          <w:sz w:val="20"/>
        </w:rPr>
        <w:t>Cross-functional stakeholder alignment, design reviews, technical mentorship, executive communication, Agile delivery</w:t>
      </w:r>
    </w:p>
    <w:p>
      <w:pPr>
        <w:spacing w:before="160" w:after="40"/>
        <w:pBdr>
          <w:bottom w:val="single" w:sz="6" w:space="1" w:color="888888"/>
        </w:pBdr>
      </w:pPr>
      <w:r>
        <w:rPr>
          <w:b/>
          <w:color w:val="1F3A5F"/>
          <w:sz w:val="24"/>
        </w:rPr>
        <w:t>PROFESSIONAL EXPERIENCE</w:t>
      </w:r>
    </w:p>
    <w:p>
      <w:pPr>
        <w:spacing w:before="120" w:after="0"/>
      </w:pPr>
      <w:r>
        <w:rPr>
          <w:b/>
          <w:sz w:val="22"/>
        </w:rPr>
        <w:t>Solutions Architect | Harmonic | 2025 – Present</w:t>
      </w:r>
    </w:p>
    <w:p>
      <w:pPr>
        <w:spacing w:before="0" w:after="40"/>
      </w:pPr>
      <w:r>
        <w:rPr>
          <w:b w:val="0"/>
          <w:i/>
          <w:sz w:val="18"/>
        </w:rPr>
        <w:t>Remote</w:t>
      </w:r>
    </w:p>
    <w:p>
      <w:pPr>
        <w:pStyle w:val="ListBullet"/>
        <w:spacing w:before="0" w:after="40"/>
        <w:ind w:left="360"/>
      </w:pPr>
      <w:r>
        <w:rPr>
          <w:sz w:val="20"/>
        </w:rPr>
        <w:t>Architect end-to-end cloud-native solutions for tier-1 broadcast customers, translating complex multi-platform delivery requirements into scalable system designs spanning ingest, processing, and distribution.</w:t>
      </w:r>
    </w:p>
    <w:p>
      <w:pPr>
        <w:pStyle w:val="ListBullet"/>
        <w:spacing w:before="0" w:after="40"/>
        <w:ind w:left="360"/>
      </w:pPr>
      <w:r>
        <w:rPr>
          <w:sz w:val="20"/>
        </w:rPr>
        <w:t>Lead design reviews and produce detailed architecture artifacts — including data flow diagrams and API contracts — to align engineering, product, and customer stakeholders on technical direction before implementation begins.</w:t>
      </w:r>
    </w:p>
    <w:p>
      <w:pPr>
        <w:pStyle w:val="ListBullet"/>
        <w:spacing w:before="0" w:after="40"/>
        <w:ind w:left="360"/>
      </w:pPr>
      <w:r>
        <w:rPr>
          <w:sz w:val="20"/>
        </w:rPr>
        <w:t>Evaluate and recommend integration patterns for multi-tenant SaaS delivery environments, ensuring tenant isolation, reliable data activation, and extensible onboarding paths for new customers.</w:t>
      </w:r>
    </w:p>
    <w:p>
      <w:pPr>
        <w:pStyle w:val="ListBullet"/>
        <w:spacing w:before="0" w:after="40"/>
        <w:ind w:left="360"/>
      </w:pPr>
      <w:r>
        <w:rPr>
          <w:sz w:val="20"/>
        </w:rPr>
        <w:t>Establish reference architectures for dynamic ad insertion and server-side ad workflows, enabling consistent monetization patterns across diverse customer deployment topologies.</w:t>
      </w:r>
    </w:p>
    <w:p>
      <w:pPr>
        <w:pStyle w:val="ListBullet"/>
        <w:spacing w:before="0" w:after="40"/>
        <w:ind w:left="360"/>
      </w:pPr>
      <w:r>
        <w:rPr>
          <w:sz w:val="20"/>
        </w:rPr>
        <w:t>Partner with customers' engineering and operations teams to design instrumentation, alerting, and runbook strategies that ensure production systems meet reliability and performance SLOs.</w:t>
      </w:r>
    </w:p>
    <w:p>
      <w:pPr>
        <w:pStyle w:val="ListBullet"/>
        <w:spacing w:before="0" w:after="40"/>
        <w:ind w:left="360"/>
      </w:pPr>
      <w:r>
        <w:rPr>
          <w:sz w:val="20"/>
        </w:rPr>
        <w:t>Operate as a technical advisor bridging customer requirements and product engineering, identifying architectural risks early and proposing mitigation strategies that keep delivery on track.</w:t>
      </w:r>
    </w:p>
    <w:p>
      <w:pPr>
        <w:spacing w:before="120" w:after="0"/>
      </w:pPr>
      <w:r>
        <w:rPr>
          <w:b/>
          <w:sz w:val="22"/>
        </w:rPr>
        <w:t>Founder and Principal R&amp;D Architect | RE Kreations LLC | 2017 – Present</w:t>
      </w:r>
    </w:p>
    <w:p>
      <w:pPr>
        <w:spacing w:before="0" w:after="40"/>
      </w:pPr>
      <w:r>
        <w:rPr>
          <w:b w:val="0"/>
          <w:i/>
          <w:sz w:val="18"/>
        </w:rPr>
        <w:t>Rockville, MD</w:t>
      </w:r>
    </w:p>
    <w:p>
      <w:pPr>
        <w:pStyle w:val="ListBullet"/>
        <w:spacing w:before="0" w:after="40"/>
        <w:ind w:left="360"/>
      </w:pPr>
      <w:r>
        <w:rPr>
          <w:sz w:val="20"/>
        </w:rPr>
        <w:t>Independently designed and built a multi-model LLM orchestration pipeline, architecting prompt routing, context management, and output validation layers to ensure reliable, production-grade AI inference across use cases.</w:t>
      </w:r>
    </w:p>
    <w:p>
      <w:pPr>
        <w:pStyle w:val="ListBullet"/>
        <w:spacing w:before="0" w:after="40"/>
        <w:ind w:left="360"/>
      </w:pPr>
      <w:r>
        <w:rPr>
          <w:sz w:val="20"/>
        </w:rPr>
        <w:t>Architected a local-first microservices platform from scratch, designing service boundaries, API contracts, and data models to support iterative product development with real customers and measurable usage.</w:t>
      </w:r>
    </w:p>
    <w:p>
      <w:pPr>
        <w:pStyle w:val="ListBullet"/>
        <w:spacing w:before="0" w:after="40"/>
        <w:ind w:left="360"/>
      </w:pPr>
      <w:r>
        <w:rPr>
          <w:sz w:val="20"/>
        </w:rPr>
        <w:t>Built and maintained end-to-end observability for all platform services — including structured logging, metrics collection, and failure-mode alerting — enabling rapid diagnosis and resolution of production issues without external dependencies.</w:t>
      </w:r>
    </w:p>
    <w:p>
      <w:pPr>
        <w:pStyle w:val="ListBullet"/>
        <w:spacing w:before="0" w:after="40"/>
        <w:ind w:left="360"/>
      </w:pPr>
      <w:r>
        <w:rPr>
          <w:sz w:val="20"/>
        </w:rPr>
        <w:t>Designed multi-tenant data isolation patterns for a founder-operated SaaS platform, ensuring clean partitioning of customer data and access control across shared infrastructure.</w:t>
      </w:r>
    </w:p>
    <w:p>
      <w:pPr>
        <w:pStyle w:val="ListBullet"/>
        <w:spacing w:before="0" w:after="40"/>
        <w:ind w:left="360"/>
      </w:pPr>
      <w:r>
        <w:rPr>
          <w:sz w:val="20"/>
        </w:rPr>
        <w:t>Evaluated and integrated third-party APIs and data sources, establishing idempotency and retry patterns that maintained data integrity across unreliable external dependencies.</w:t>
      </w:r>
    </w:p>
    <w:p>
      <w:pPr>
        <w:pStyle w:val="ListBullet"/>
        <w:spacing w:before="0" w:after="40"/>
        <w:ind w:left="360"/>
      </w:pPr>
      <w:r>
        <w:rPr>
          <w:sz w:val="20"/>
        </w:rPr>
        <w:t>Applied systems-thinking to full product lifecycle — from architecture through deployment — validating technical decisions against real customer feedback and iterating rapidly on both design and implementation.</w:t>
      </w:r>
    </w:p>
    <w:p>
      <w:pPr>
        <w:spacing w:before="120" w:after="0"/>
      </w:pPr>
      <w:r>
        <w:rPr>
          <w:b/>
          <w:sz w:val="22"/>
        </w:rPr>
        <w:t>Principal End-to-End Architect | NBCUniversal | 2021 – 2025</w:t>
      </w:r>
    </w:p>
    <w:p>
      <w:pPr>
        <w:spacing w:before="0" w:after="40"/>
      </w:pPr>
      <w:r>
        <w:rPr>
          <w:b w:val="0"/>
          <w:i/>
          <w:sz w:val="18"/>
        </w:rPr>
        <w:t>Remote</w:t>
      </w:r>
    </w:p>
    <w:p>
      <w:pPr>
        <w:spacing w:before="0" w:after="40"/>
      </w:pPr>
      <w:r>
        <w:rPr>
          <w:b w:val="0"/>
          <w:i/>
          <w:sz w:val="20"/>
        </w:rPr>
        <w:t>During organizational restructuring in early 2025, I transitioned from NBCUniversal.</w:t>
      </w:r>
    </w:p>
    <w:p>
      <w:pPr>
        <w:pStyle w:val="ListBullet"/>
        <w:spacing w:before="0" w:after="40"/>
        <w:ind w:left="360"/>
      </w:pPr>
      <w:r>
        <w:rPr>
          <w:sz w:val="20"/>
        </w:rPr>
        <w:t>Architected the Key Plays feature — an AI/ML-driven near-real-time sports highlights system — designing the end-to-end pipeline from live event signal ingestion through ML inference, clip packaging, and audience delivery at scale across NBCU's OTT platforms.</w:t>
      </w:r>
    </w:p>
    <w:p>
      <w:pPr>
        <w:pStyle w:val="ListBullet"/>
        <w:spacing w:before="0" w:after="40"/>
        <w:ind w:left="360"/>
      </w:pPr>
      <w:r>
        <w:rPr>
          <w:sz w:val="20"/>
        </w:rPr>
        <w:t>Led architecture for the Olympic Daily Recap product, designing a generative AI pipeline that produced over 7 million personalized video variants, requiring fault-tolerant batch orchestration, content assembly automation, and reliable cloud-based delivery.</w:t>
      </w:r>
    </w:p>
    <w:p>
      <w:pPr>
        <w:pStyle w:val="ListBullet"/>
        <w:spacing w:before="0" w:after="40"/>
        <w:ind w:left="360"/>
      </w:pPr>
      <w:r>
        <w:rPr>
          <w:sz w:val="20"/>
        </w:rPr>
        <w:t>Designed the Live Actions overlay core service, architecting real-time synchronization of interactive elements with live broadcast streams — maintaining sub-second time-sync across millions of concurrent viewers during Olympics and major sports events.</w:t>
      </w:r>
    </w:p>
    <w:p>
      <w:pPr>
        <w:pStyle w:val="ListBullet"/>
        <w:spacing w:before="0" w:after="40"/>
        <w:ind w:left="360"/>
      </w:pPr>
      <w:r>
        <w:rPr>
          <w:sz w:val="20"/>
        </w:rPr>
        <w:t>Drove cross-domain architecture alignment across engineering and product leadership, producing high-level and low-level design artifacts, leading design reviews, and resolving technical tradeoffs for initiatives spanning streaming, ad tech, and interactive systems.</w:t>
      </w:r>
    </w:p>
    <w:p>
      <w:pPr>
        <w:pStyle w:val="ListBullet"/>
        <w:spacing w:before="0" w:after="40"/>
        <w:ind w:left="360"/>
      </w:pPr>
      <w:r>
        <w:rPr>
          <w:sz w:val="20"/>
        </w:rPr>
        <w:t>Established observability and operability standards for live event systems, including instrumentation, alerting, and failure-mode runbooks that enabled engineering teams to detect and recover from production incidents during high-stakes broadcasts.</w:t>
      </w:r>
    </w:p>
    <w:p>
      <w:pPr>
        <w:pStyle w:val="ListBullet"/>
        <w:spacing w:before="0" w:after="40"/>
        <w:ind w:left="360"/>
      </w:pPr>
      <w:r>
        <w:rPr>
          <w:sz w:val="20"/>
        </w:rPr>
        <w:t>Identified and mitigated architectural risks in ad tech systems, designing improvements that contributed to 200%+ growth in ad revenue by enabling more reliable, scalable dynamic ad insertion across live and VOD content.</w:t>
      </w:r>
    </w:p>
    <w:p>
      <w:pPr>
        <w:spacing w:before="120" w:after="0"/>
      </w:pPr>
      <w:r>
        <w:rPr>
          <w:b/>
          <w:sz w:val="22"/>
        </w:rPr>
        <w:t>Innovation and Emerging Technology Lead | Leidos | 2019 – 2020</w:t>
      </w:r>
    </w:p>
    <w:p>
      <w:pPr>
        <w:spacing w:before="0" w:after="40"/>
      </w:pPr>
      <w:r>
        <w:rPr>
          <w:b w:val="0"/>
          <w:i/>
          <w:sz w:val="18"/>
        </w:rPr>
        <w:t>Washington, DC</w:t>
      </w:r>
    </w:p>
    <w:p>
      <w:pPr>
        <w:pStyle w:val="ListBullet"/>
        <w:spacing w:before="0" w:after="40"/>
        <w:ind w:left="360"/>
      </w:pPr>
      <w:r>
        <w:rPr>
          <w:sz w:val="20"/>
        </w:rPr>
        <w:t>Provided end-to-end technical consultation for government and enterprise clients evaluating emerging technology platforms, translating complex distributed system requirements into structured architecture recommendations.</w:t>
      </w:r>
    </w:p>
    <w:p>
      <w:pPr>
        <w:pStyle w:val="ListBullet"/>
        <w:spacing w:before="0" w:after="40"/>
        <w:ind w:left="360"/>
      </w:pPr>
      <w:r>
        <w:rPr>
          <w:sz w:val="20"/>
        </w:rPr>
        <w:t>Led design of cloud-native solution architectures for large-scale data delivery use cases, producing design artifacts and tradeoff analyses that guided client procurement and build decisions.</w:t>
      </w:r>
    </w:p>
    <w:p>
      <w:pPr>
        <w:pStyle w:val="ListBullet"/>
        <w:spacing w:before="0" w:after="40"/>
        <w:ind w:left="360"/>
      </w:pPr>
      <w:r>
        <w:rPr>
          <w:sz w:val="20"/>
        </w:rPr>
        <w:t>Operated as a domain SME across pre- and post-sales engagements, aligning engineering teams and executive stakeholders on technical direction for multi-vendor platform integrations.</w:t>
      </w:r>
    </w:p>
    <w:p>
      <w:pPr>
        <w:pStyle w:val="ListBullet"/>
        <w:spacing w:before="0" w:after="40"/>
        <w:ind w:left="360"/>
      </w:pPr>
      <w:r>
        <w:rPr>
          <w:sz w:val="20"/>
        </w:rPr>
        <w:t>Evaluated SaaS and infrastructure vendors against reliability, scalability, and integration requirements — establishing selection frameworks that reduced architectural risk in complex deployment environments.</w:t>
      </w:r>
    </w:p>
    <w:p>
      <w:pPr>
        <w:pStyle w:val="ListBullet"/>
        <w:spacing w:before="0" w:after="40"/>
        <w:ind w:left="360"/>
      </w:pPr>
      <w:r>
        <w:rPr>
          <w:sz w:val="20"/>
        </w:rPr>
        <w:t>Designed integration patterns for connecting disparate government data systems, applying fault-tolerance and idempotency principles to ensure data integrity across unreliable network boundaries.</w:t>
      </w:r>
    </w:p>
    <w:p>
      <w:pPr>
        <w:pStyle w:val="ListBullet"/>
        <w:spacing w:before="0" w:after="40"/>
        <w:ind w:left="360"/>
      </w:pPr>
      <w:r>
        <w:rPr>
          <w:sz w:val="20"/>
        </w:rPr>
        <w:t>Delivered technical knowledge-sharing sessions to client engineering teams, accelerating adoption of cloud-native architecture patterns and raising the bar for system design practices within client organizations.</w:t>
      </w:r>
    </w:p>
    <w:p>
      <w:pPr>
        <w:spacing w:before="120" w:after="0"/>
      </w:pPr>
      <w:r>
        <w:rPr>
          <w:b/>
          <w:sz w:val="22"/>
        </w:rPr>
        <w:t>Sr. Solutions Architect | Ooyala | 2017 – 2018</w:t>
      </w:r>
    </w:p>
    <w:p>
      <w:pPr>
        <w:spacing w:before="0" w:after="40"/>
      </w:pPr>
      <w:r>
        <w:rPr>
          <w:b w:val="0"/>
          <w:i/>
          <w:sz w:val="18"/>
        </w:rPr>
        <w:t>Remote</w:t>
      </w:r>
    </w:p>
    <w:p>
      <w:pPr>
        <w:pStyle w:val="ListBullet"/>
        <w:spacing w:before="0" w:after="40"/>
        <w:ind w:left="360"/>
      </w:pPr>
      <w:r>
        <w:rPr>
          <w:sz w:val="20"/>
        </w:rPr>
        <w:t>Designed end-to-end SaaS media lifecycle architectures for enterprise clients, translating C-suite business requirements into scalable, multi-platform content delivery solutions spanning ingest, processing, and distribution.</w:t>
      </w:r>
    </w:p>
    <w:p>
      <w:pPr>
        <w:pStyle w:val="ListBullet"/>
        <w:spacing w:before="0" w:after="40"/>
        <w:ind w:left="360"/>
      </w:pPr>
      <w:r>
        <w:rPr>
          <w:sz w:val="20"/>
        </w:rPr>
        <w:t>Led technical architecture engagements with broadcast and media customers, producing detailed design artifacts and integration specifications that aligned client engineering teams on implementation path.</w:t>
      </w:r>
    </w:p>
    <w:p>
      <w:pPr>
        <w:pStyle w:val="ListBullet"/>
        <w:spacing w:before="0" w:after="40"/>
        <w:ind w:left="360"/>
      </w:pPr>
      <w:r>
        <w:rPr>
          <w:sz w:val="20"/>
        </w:rPr>
        <w:t>Architected integration patterns connecting Ooyala's SaaS platform to client-side CMS, ad servers, and CDN configurations — establishing reliable data activation flows with clear versioning and extensibility strategies.</w:t>
      </w:r>
    </w:p>
    <w:p>
      <w:pPr>
        <w:pStyle w:val="ListBullet"/>
        <w:spacing w:before="0" w:after="40"/>
        <w:ind w:left="360"/>
      </w:pPr>
      <w:r>
        <w:rPr>
          <w:sz w:val="20"/>
        </w:rPr>
        <w:t>Evaluated client infrastructure environments and recommended migration architectures for transitioning legacy VOD workflows to cloud-based SaaS delivery, reducing operational complexity and improving scalability.</w:t>
      </w:r>
    </w:p>
    <w:p>
      <w:pPr>
        <w:pStyle w:val="ListBullet"/>
        <w:spacing w:before="0" w:after="40"/>
        <w:ind w:left="360"/>
      </w:pPr>
      <w:r>
        <w:rPr>
          <w:sz w:val="20"/>
        </w:rPr>
        <w:t>Served as technical authority during client onboarding, designing tenant-aware configuration patterns and multi-platform delivery workflows that accelerated time-to-production for new accounts.</w:t>
      </w:r>
    </w:p>
    <w:p>
      <w:pPr>
        <w:pStyle w:val="ListBullet"/>
        <w:spacing w:before="0" w:after="40"/>
        <w:ind w:left="360"/>
      </w:pPr>
      <w:r>
        <w:rPr>
          <w:sz w:val="20"/>
        </w:rPr>
        <w:t>Identified architectural risks in client integration designs during pre-sales engagements, proposing mitigation approaches that improved deal confidence and reduced post-deployment support burden.</w:t>
      </w:r>
    </w:p>
    <w:p>
      <w:pPr>
        <w:spacing w:before="120" w:after="0"/>
      </w:pPr>
      <w:r>
        <w:rPr>
          <w:b/>
          <w:sz w:val="22"/>
        </w:rPr>
        <w:t>Principal Engineer, Video-On-Demand | Time Warner Cable | 2012 – 2017</w:t>
      </w:r>
    </w:p>
    <w:p>
      <w:pPr>
        <w:spacing w:before="0" w:after="40"/>
      </w:pPr>
      <w:r>
        <w:rPr>
          <w:b w:val="0"/>
          <w:i/>
          <w:sz w:val="18"/>
        </w:rPr>
        <w:t>Remote</w:t>
      </w:r>
    </w:p>
    <w:p>
      <w:pPr>
        <w:pStyle w:val="ListBullet"/>
        <w:spacing w:before="0" w:after="40"/>
        <w:ind w:left="360"/>
      </w:pPr>
      <w:r>
        <w:rPr>
          <w:sz w:val="20"/>
        </w:rPr>
        <w:t>Served as principal architect for the TWCTV application's VOD and advertising subsystems, designing the end-to-end content acquisition, processing, CDN distribution, and playback architecture for an enterprise-scale platform serving millions of subscribers.</w:t>
      </w:r>
    </w:p>
    <w:p>
      <w:pPr>
        <w:pStyle w:val="ListBullet"/>
        <w:spacing w:before="0" w:after="40"/>
        <w:ind w:left="360"/>
      </w:pPr>
      <w:r>
        <w:rPr>
          <w:sz w:val="20"/>
        </w:rPr>
        <w:t>Recognized accelerating OTT adoption ahead of market inflection; built prototypes that directly informed TWCTV Application architecture, shaping design decisions for DRM security and dynamic ad insertion to meet emerging monetization requirements.</w:t>
      </w:r>
    </w:p>
    <w:p>
      <w:pPr>
        <w:pStyle w:val="ListBullet"/>
        <w:spacing w:before="0" w:after="40"/>
        <w:ind w:left="360"/>
      </w:pPr>
      <w:r>
        <w:rPr>
          <w:sz w:val="20"/>
        </w:rPr>
        <w:t>Directed design and implementation of just-in-time encryption DRM solutions, establishing scalable content protection patterns that secured VOD delivery across both set-top box and OTT environments.</w:t>
      </w:r>
    </w:p>
    <w:p>
      <w:pPr>
        <w:pStyle w:val="ListBullet"/>
        <w:spacing w:before="0" w:after="40"/>
        <w:ind w:left="360"/>
      </w:pPr>
      <w:r>
        <w:rPr>
          <w:sz w:val="20"/>
        </w:rPr>
        <w:t>Designed and drove centralization of all VOD content acquisition and distribution, unifying regional workflows into a single headend architecture that improved scalability, reduced operational costs, and simplified multi-vendor coordination.</w:t>
      </w:r>
    </w:p>
    <w:p>
      <w:pPr>
        <w:pStyle w:val="ListBullet"/>
        <w:spacing w:before="0" w:after="40"/>
        <w:ind w:left="360"/>
      </w:pPr>
      <w:r>
        <w:rPr>
          <w:sz w:val="20"/>
        </w:rPr>
        <w:t>Evaluated and integrated multiple hardware, software, and SaaS providers simultaneously — designing coordination patterns across vendor ecosystems that maintained system reliability and reduced architectural coupling.</w:t>
      </w:r>
    </w:p>
    <w:p>
      <w:pPr>
        <w:pStyle w:val="ListBullet"/>
        <w:spacing w:before="0" w:after="40"/>
        <w:ind w:left="360"/>
      </w:pPr>
      <w:r>
        <w:rPr>
          <w:sz w:val="20"/>
        </w:rPr>
        <w:t>Operated as and individual contributor, determining technical direction for major platform changes and securing executive buy-in through clear design rationale and structured tradeoff analysis.</w:t>
      </w:r>
    </w:p>
    <w:p>
      <w:pPr>
        <w:spacing w:before="120" w:after="0"/>
      </w:pPr>
      <w:r>
        <w:rPr>
          <w:b/>
          <w:sz w:val="22"/>
        </w:rPr>
        <w:t>Manager, Digital Media Delivery | Time Warner Cable | 2006 – 2012</w:t>
      </w:r>
    </w:p>
    <w:p>
      <w:pPr>
        <w:spacing w:before="0" w:after="40"/>
      </w:pPr>
      <w:r>
        <w:rPr>
          <w:b w:val="0"/>
          <w:i/>
          <w:sz w:val="18"/>
        </w:rPr>
        <w:t>Sterling, VA</w:t>
      </w:r>
    </w:p>
    <w:p>
      <w:pPr>
        <w:pStyle w:val="ListBullet"/>
        <w:spacing w:before="0" w:after="40"/>
        <w:ind w:left="360"/>
      </w:pPr>
      <w:r>
        <w:rPr>
          <w:sz w:val="20"/>
        </w:rPr>
        <w:t>Architected early OTT streaming infrastructure for Time Warner Cable's digital media delivery platform — building foundational systems for content ingest, encoding, and CDN-based distribution ahead of mainstream adoption.</w:t>
      </w:r>
    </w:p>
    <w:p>
      <w:pPr>
        <w:pStyle w:val="ListBullet"/>
        <w:spacing w:before="0" w:after="40"/>
        <w:ind w:left="360"/>
      </w:pPr>
      <w:r>
        <w:rPr>
          <w:sz w:val="20"/>
        </w:rPr>
        <w:t>Designed and delivered dynamic ad insertion pipelines for streaming VOD content, establishing technical architecture that contributed to 350%+ growth in digital ad revenue by enabling reliable, scalable monetization at delivery time.</w:t>
      </w:r>
    </w:p>
    <w:p>
      <w:pPr>
        <w:pStyle w:val="ListBullet"/>
        <w:spacing w:before="0" w:after="40"/>
        <w:ind w:left="360"/>
      </w:pPr>
      <w:r>
        <w:rPr>
          <w:sz w:val="20"/>
        </w:rPr>
        <w:t>Led technical design for SaaS platform transitions, evaluating vendor architectures and producing integration specifications that aligned engineering teams on migration path from on-premise to cloud-based delivery models.</w:t>
      </w:r>
    </w:p>
    <w:p>
      <w:pPr>
        <w:pStyle w:val="ListBullet"/>
        <w:spacing w:before="0" w:after="40"/>
        <w:ind w:left="360"/>
      </w:pPr>
      <w:r>
        <w:rPr>
          <w:sz w:val="20"/>
        </w:rPr>
        <w:t>Acted as SME across engineering and executive stakeholder groups on content acquisition, processing, CDN distribution, and playback — translating complex technical tradeoffs into clear architecture decisions with documented business rationale.</w:t>
      </w:r>
    </w:p>
    <w:p>
      <w:pPr>
        <w:pStyle w:val="ListBullet"/>
        <w:spacing w:before="0" w:after="40"/>
        <w:ind w:left="360"/>
      </w:pPr>
      <w:r>
        <w:rPr>
          <w:sz w:val="20"/>
        </w:rPr>
        <w:t>Designed fault-tolerant content delivery workflows with observability instrumentation, enabling operations teams to monitor system health, detect failures early, and maintain SLOs for live and on-demand content.</w:t>
      </w:r>
    </w:p>
    <w:p>
      <w:pPr>
        <w:pStyle w:val="ListBullet"/>
        <w:spacing w:before="0" w:after="40"/>
        <w:ind w:left="360"/>
      </w:pPr>
      <w:r>
        <w:rPr>
          <w:sz w:val="20"/>
        </w:rPr>
        <w:t>Established integration patterns for connecting distribution infrastructure with ad servers, rights management systems, and third-party SaaS providers — applying versioning and idempotency principles to ensure data integrity across dependent systems.</w:t>
      </w:r>
    </w:p>
    <w:p>
      <w:pPr>
        <w:spacing w:before="120" w:after="0"/>
      </w:pPr>
      <w:r>
        <w:rPr>
          <w:b/>
          <w:sz w:val="22"/>
        </w:rPr>
        <w:t>Sr. Live Events Producer | AOL | 2001 – 2006</w:t>
      </w:r>
    </w:p>
    <w:p>
      <w:pPr>
        <w:spacing w:before="0" w:after="40"/>
      </w:pPr>
      <w:r>
        <w:rPr>
          <w:b w:val="0"/>
          <w:i/>
          <w:sz w:val="18"/>
        </w:rPr>
        <w:t>Sterling, VA</w:t>
      </w:r>
    </w:p>
    <w:p>
      <w:pPr>
        <w:pStyle w:val="ListBullet"/>
        <w:spacing w:before="0" w:after="40"/>
        <w:ind w:left="360"/>
      </w:pPr>
      <w:r>
        <w:rPr>
          <w:sz w:val="20"/>
        </w:rPr>
        <w:t>Architected and operated the industry's first all-digital broadcast operations center for streaming and OTT delivery — designing end-to-end infrastructure for live event ingest, encoding, and multi-CDN distribution years before the category reached mainstream scale.</w:t>
      </w:r>
    </w:p>
    <w:p>
      <w:pPr>
        <w:pStyle w:val="ListBullet"/>
        <w:spacing w:before="0" w:after="40"/>
        <w:ind w:left="360"/>
      </w:pPr>
      <w:r>
        <w:rPr>
          <w:sz w:val="20"/>
        </w:rPr>
        <w:t>Delivered world-record concurrent streaming for the Live 8 Concert, designing a distributed live event architecture that simultaneously served audiences across 8 global sites — demonstrating fault tolerance and scalability under extreme real-time load.</w:t>
      </w:r>
    </w:p>
    <w:p>
      <w:pPr>
        <w:pStyle w:val="ListBullet"/>
        <w:spacing w:before="0" w:after="40"/>
        <w:ind w:left="360"/>
      </w:pPr>
      <w:r>
        <w:rPr>
          <w:sz w:val="20"/>
        </w:rPr>
        <w:t>Designed real-time live event delivery pipelines for large-scale streaming broadcasts, establishing encoding, packaging, and distribution patterns that maintained broadcast-grade quality while serving millions of concurrent viewers.</w:t>
      </w:r>
    </w:p>
    <w:p>
      <w:pPr>
        <w:pStyle w:val="ListBullet"/>
        <w:spacing w:before="0" w:after="40"/>
        <w:ind w:left="360"/>
      </w:pPr>
      <w:r>
        <w:rPr>
          <w:sz w:val="20"/>
        </w:rPr>
        <w:t>Led technical integration of multiple CDN and streaming infrastructure providers for live event delivery, designing coordination and failover patterns that maintained continuity across high-stakes, zero-downtime broadcast windows.</w:t>
      </w:r>
    </w:p>
    <w:p>
      <w:pPr>
        <w:pStyle w:val="ListBullet"/>
        <w:spacing w:before="0" w:after="40"/>
        <w:ind w:left="360"/>
      </w:pPr>
      <w:r>
        <w:rPr>
          <w:sz w:val="20"/>
        </w:rPr>
        <w:t>Produced structured technical runbooks and operational procedures for live broadcast events, enabling cross-functional teams to execute complex multi-vendor delivery workflows reliably under time-critical conditions.</w:t>
      </w:r>
    </w:p>
    <w:p>
      <w:pPr>
        <w:pStyle w:val="ListBullet"/>
        <w:spacing w:before="0" w:after="40"/>
        <w:ind w:left="360"/>
      </w:pPr>
      <w:r>
        <w:rPr>
          <w:sz w:val="20"/>
        </w:rPr>
        <w:t>Established early data flow and system design patterns for digital-only broadcast operations, informing industry approaches to streaming architecture at a time when OTT delivery standards and tooling were largely undefined.</w:t>
      </w:r>
    </w:p>
    <w:p>
      <w:pPr>
        <w:spacing w:before="160" w:after="40"/>
        <w:pBdr>
          <w:bottom w:val="single" w:sz="6" w:space="1" w:color="888888"/>
        </w:pBdr>
      </w:pPr>
      <w:r>
        <w:rPr>
          <w:b/>
          <w:color w:val="1F3A5F"/>
          <w:sz w:val="24"/>
        </w:rPr>
        <w:t>PATENTS (7 Granted | 3 Pending)</w:t>
      </w:r>
    </w:p>
    <w:p>
      <w:pPr>
        <w:spacing w:before="0" w:after="40"/>
      </w:pPr>
      <w:r>
        <w:rPr>
          <w:b/>
          <w:i w:val="0"/>
          <w:sz w:val="20"/>
        </w:rPr>
        <w:t>Granted:</w:t>
      </w:r>
    </w:p>
    <w:p>
      <w:pPr>
        <w:pStyle w:val="ListBullet"/>
        <w:spacing w:before="0" w:after="40"/>
        <w:ind w:left="360"/>
      </w:pPr>
      <w:r>
        <w:rPr>
          <w:sz w:val="20"/>
        </w:rPr>
        <w:t>US 12382148 — Apparatus and Methods for Thumbnail Generation (TWC, 2025)</w:t>
      </w:r>
    </w:p>
    <w:p>
      <w:pPr>
        <w:pStyle w:val="ListBullet"/>
        <w:spacing w:before="0" w:after="40"/>
        <w:ind w:left="360"/>
      </w:pPr>
      <w:r>
        <w:rPr>
          <w:sz w:val="20"/>
        </w:rPr>
        <w:t>US 11310567 — Apparatus and Methods for Thumbnail Generation (TWC, 2022)</w:t>
      </w:r>
    </w:p>
    <w:p>
      <w:pPr>
        <w:pStyle w:val="ListBullet"/>
        <w:spacing w:before="0" w:after="40"/>
        <w:ind w:left="360"/>
      </w:pPr>
      <w:r>
        <w:rPr>
          <w:sz w:val="20"/>
        </w:rPr>
        <w:t>US 10667018 — Asynchronous Workflows (TWC, 2020)</w:t>
      </w:r>
    </w:p>
    <w:p>
      <w:pPr>
        <w:pStyle w:val="ListBullet"/>
        <w:spacing w:before="0" w:after="40"/>
        <w:ind w:left="360"/>
      </w:pPr>
      <w:r>
        <w:rPr>
          <w:sz w:val="20"/>
        </w:rPr>
        <w:t>US 10375452 — Apparatus and Methods for Thumbnail Generation (TWC, 2019)</w:t>
      </w:r>
    </w:p>
    <w:p>
      <w:pPr>
        <w:pStyle w:val="ListBullet"/>
        <w:spacing w:before="0" w:after="40"/>
        <w:ind w:left="360"/>
      </w:pPr>
      <w:r>
        <w:rPr>
          <w:sz w:val="20"/>
        </w:rPr>
        <w:t>US 8769151 — Adding Advertising Content to Media Content (Facebook, 2014)</w:t>
      </w:r>
    </w:p>
    <w:p>
      <w:pPr>
        <w:pStyle w:val="ListBullet"/>
        <w:spacing w:before="0" w:after="40"/>
        <w:ind w:left="360"/>
      </w:pPr>
      <w:r>
        <w:rPr>
          <w:sz w:val="20"/>
        </w:rPr>
        <w:t>US 8762575 — Inserting Advertising Content (Facebook, 2014)</w:t>
      </w:r>
    </w:p>
    <w:p>
      <w:pPr>
        <w:pStyle w:val="ListBullet"/>
        <w:spacing w:before="0" w:after="40"/>
        <w:ind w:left="360"/>
      </w:pPr>
      <w:r>
        <w:rPr>
          <w:sz w:val="20"/>
        </w:rPr>
        <w:t>US 8028092 — Inserting Advertising Content (AOL, 2011)</w:t>
      </w:r>
    </w:p>
    <w:p>
      <w:pPr>
        <w:spacing w:before="0" w:after="40"/>
      </w:pPr>
      <w:r>
        <w:rPr>
          <w:b/>
          <w:i w:val="0"/>
          <w:sz w:val="20"/>
        </w:rPr>
        <w:t>Pending:</w:t>
      </w:r>
    </w:p>
    <w:p>
      <w:pPr>
        <w:pStyle w:val="ListBullet"/>
        <w:spacing w:before="0" w:after="40"/>
        <w:ind w:left="360"/>
      </w:pPr>
      <w:r>
        <w:rPr>
          <w:sz w:val="20"/>
        </w:rPr>
        <w:t>US 20260057418 — Generative AI Creative Platform (NBCU, 2026)</w:t>
      </w:r>
    </w:p>
    <w:p>
      <w:pPr>
        <w:pStyle w:val="ListBullet"/>
        <w:spacing w:before="0" w:after="40"/>
        <w:ind w:left="360"/>
      </w:pPr>
      <w:r>
        <w:rPr>
          <w:sz w:val="20"/>
        </w:rPr>
        <w:t>US 20250203152 — Timed Metadata for Overlays (NBCU, 2025)</w:t>
      </w:r>
    </w:p>
    <w:p>
      <w:pPr>
        <w:pStyle w:val="ListBullet"/>
        <w:spacing w:before="0" w:after="40"/>
        <w:ind w:left="360"/>
      </w:pPr>
      <w:r>
        <w:rPr>
          <w:sz w:val="20"/>
        </w:rPr>
        <w:t>US 20240430496 — Dynamic In-Scene Secondary Content Insertion (NBCU, 2024)</w:t>
      </w:r>
    </w:p>
    <w:p>
      <w:pPr>
        <w:spacing w:before="160" w:after="40"/>
        <w:pBdr>
          <w:bottom w:val="single" w:sz="6" w:space="1" w:color="888888"/>
        </w:pBdr>
      </w:pPr>
      <w:r>
        <w:rPr>
          <w:b/>
          <w:color w:val="1F3A5F"/>
          <w:sz w:val="24"/>
        </w:rPr>
        <w:t>AWARDS</w:t>
      </w:r>
    </w:p>
    <w:p>
      <w:pPr>
        <w:pStyle w:val="ListBullet"/>
        <w:spacing w:before="0" w:after="40"/>
        <w:ind w:left="360"/>
      </w:pPr>
      <w:r>
        <w:rPr>
          <w:sz w:val="20"/>
        </w:rPr>
        <w:t>Outstanding Interactive Experience Emmy Award (2025) — NBCUniversal, Paris 2024 Olympics; individually named Software Developer</w:t>
      </w:r>
    </w:p>
    <w:p>
      <w:pPr>
        <w:pStyle w:val="ListBullet"/>
        <w:spacing w:before="0" w:after="40"/>
        <w:ind w:left="360"/>
      </w:pPr>
      <w:r>
        <w:rPr>
          <w:sz w:val="20"/>
        </w:rPr>
        <w:t>Technology &amp; Engineering Emmy Award (2023) — NBCUniversal, Key Plays AI/ML sports highlights platform</w:t>
      </w:r>
    </w:p>
    <w:p>
      <w:pPr>
        <w:pStyle w:val="ListBullet"/>
        <w:spacing w:before="0" w:after="40"/>
        <w:ind w:left="360"/>
      </w:pPr>
      <w:r>
        <w:rPr>
          <w:sz w:val="20"/>
        </w:rPr>
        <w:t>Emmy Award (2014) — Time Warner Cable, TWCTV Application (OTT innovation)</w:t>
      </w:r>
    </w:p>
    <w:p>
      <w:pPr>
        <w:pStyle w:val="ListBullet"/>
        <w:spacing w:before="0" w:after="40"/>
        <w:ind w:left="360"/>
      </w:pPr>
      <w:r>
        <w:rPr>
          <w:sz w:val="20"/>
        </w:rPr>
        <w:t>Emmy Award (2005) — AOL, Live 8 Concert (world-record concurrent live streaming)</w:t>
      </w:r>
    </w:p>
    <w:p>
      <w:pPr>
        <w:spacing w:before="160" w:after="40"/>
        <w:pBdr>
          <w:bottom w:val="single" w:sz="6" w:space="1" w:color="888888"/>
        </w:pBdr>
      </w:pPr>
      <w:r>
        <w:rPr>
          <w:b/>
          <w:color w:val="1F3A5F"/>
          <w:sz w:val="24"/>
        </w:rPr>
        <w:t>PROFESSIONAL AFFILIATIONS</w:t>
      </w:r>
    </w:p>
    <w:p>
      <w:pPr>
        <w:pStyle w:val="ListBullet"/>
        <w:spacing w:before="0" w:after="40"/>
        <w:ind w:left="360"/>
      </w:pPr>
      <w:r>
        <w:rPr>
          <w:sz w:val="20"/>
        </w:rPr>
        <w:t>Television Academy — Science and Technology Peer Group Member</w:t>
      </w:r>
    </w:p>
    <w:p>
      <w:pPr>
        <w:spacing w:before="160" w:after="40"/>
        <w:pBdr>
          <w:bottom w:val="single" w:sz="6" w:space="1" w:color="888888"/>
        </w:pBdr>
      </w:pPr>
      <w:r>
        <w:rPr>
          <w:b/>
          <w:color w:val="1F3A5F"/>
          <w:sz w:val="24"/>
        </w:rPr>
        <w:t>EDUCATION</w:t>
      </w:r>
    </w:p>
    <w:p>
      <w:pPr>
        <w:spacing w:before="0" w:after="40"/>
      </w:pPr>
      <w:r>
        <w:rPr>
          <w:b w:val="0"/>
          <w:i w:val="0"/>
          <w:sz w:val="20"/>
        </w:rPr>
        <w:t>University of Maryland, College Park | 1990 – 1994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