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6"/>
        </w:rPr>
        <w:t>ERIC MANCHESTER</w:t>
      </w:r>
    </w:p>
    <w:p>
      <w:pPr>
        <w:spacing w:before="0" w:after="120"/>
        <w:jc w:val="center"/>
      </w:pPr>
      <w:r>
        <w:rPr>
          <w:b w:val="0"/>
          <w:i w:val="0"/>
          <w:sz w:val="20"/>
        </w:rPr>
        <w:t>Rockville, MD  |  (240) 481-6737  |  eric.manchester@gmail.com  |  linkedin.com/in/eric-manchester</w:t>
      </w:r>
    </w:p>
    <w:p>
      <w:pPr>
        <w:spacing w:before="160" w:after="40"/>
        <w:pBdr>
          <w:bottom w:val="single" w:sz="6" w:space="1" w:color="888888"/>
        </w:pBdr>
      </w:pPr>
      <w:r>
        <w:rPr>
          <w:b/>
          <w:color w:val="1F3A5F"/>
          <w:sz w:val="24"/>
        </w:rPr>
        <w:t>PROFESSIONAL SUMMARY</w:t>
      </w:r>
    </w:p>
    <w:p>
      <w:pPr>
        <w:spacing w:before="0" w:after="80"/>
      </w:pPr>
      <w:r>
        <w:rPr>
          <w:b w:val="0"/>
          <w:i w:val="0"/>
          <w:sz w:val="20"/>
        </w:rPr>
        <w:t>Enterprise Application Architect with 20+ years of demonstrated progression from software engineer through solution and principal architecture roles, delivering scalable customer-facing digital platforms at the intersection of product, engineering, and enterprise strategy. Proven record designing end-to-end application architectures across CRM, integration, cloud-native, microservices, and AI/LLM domains — translating complex business capabilities and customer journeys into cohesive, governed, and measurable technical solutions. Consistently served as the architectural bridge between product management, engineering, and senior leadership, influencing build-vs-buy decisions, establishing reference architectures, and identifying cross-domain risks before they become delivery blockers. Brings media-grade reliability standards and enterprise-scale thinking to every architectural engagement, from greenfield platform design to modernization of entrenched application ecosystems.</w:t>
      </w:r>
    </w:p>
    <w:p>
      <w:pPr>
        <w:spacing w:before="160" w:after="40"/>
        <w:pBdr>
          <w:bottom w:val="single" w:sz="6" w:space="1" w:color="888888"/>
        </w:pBdr>
      </w:pPr>
      <w:r>
        <w:rPr>
          <w:b/>
          <w:color w:val="1F3A5F"/>
          <w:sz w:val="24"/>
        </w:rPr>
        <w:t>CORE COMPETENCIES</w:t>
      </w:r>
    </w:p>
    <w:p>
      <w:pPr>
        <w:spacing w:before="0" w:after="40"/>
      </w:pPr>
      <w:r>
        <w:rPr>
          <w:b/>
          <w:sz w:val="20"/>
        </w:rPr>
        <w:t xml:space="preserve">Architecture Domains: </w:t>
      </w:r>
      <w:r>
        <w:rPr>
          <w:sz w:val="20"/>
        </w:rPr>
        <w:t>Enterprise Application Architecture, Solution Architecture, Value Stream Architecture, Microservices, API-first Design, Event-driven Architecture, Cloud-native Design, Integration Architecture, Reference Architecture</w:t>
      </w:r>
    </w:p>
    <w:p>
      <w:pPr>
        <w:spacing w:before="0" w:after="40"/>
      </w:pPr>
      <w:r>
        <w:rPr>
          <w:b/>
          <w:sz w:val="20"/>
        </w:rPr>
        <w:t xml:space="preserve">Governance &amp; Standards: </w:t>
      </w:r>
      <w:r>
        <w:rPr>
          <w:sz w:val="20"/>
        </w:rPr>
        <w:t>Architecture Review Board Leadership, Enterprise Modeling, Architectural Governance, Technical Debt Management, Cross-domain Dependency Analysis, Build vs. Buy Evaluation</w:t>
      </w:r>
    </w:p>
    <w:p>
      <w:pPr>
        <w:spacing w:before="0" w:after="40"/>
      </w:pPr>
      <w:r>
        <w:rPr>
          <w:b/>
          <w:sz w:val="20"/>
        </w:rPr>
        <w:t xml:space="preserve">Platform &amp; Integration: </w:t>
      </w:r>
      <w:r>
        <w:rPr>
          <w:sz w:val="20"/>
        </w:rPr>
        <w:t>CRM Integration, ERP Integration, Enterprise Platform Integration, Identity &amp; Payments Systems, API Design, Platform Enablement</w:t>
      </w:r>
    </w:p>
    <w:p>
      <w:pPr>
        <w:spacing w:before="0" w:after="40"/>
      </w:pPr>
      <w:r>
        <w:rPr>
          <w:b/>
          <w:sz w:val="20"/>
        </w:rPr>
        <w:t xml:space="preserve">AI &amp; Emerging Tech: </w:t>
      </w:r>
      <w:r>
        <w:rPr>
          <w:sz w:val="20"/>
        </w:rPr>
        <w:t>LLM Orchestration, Multi-model Coordination, AI Workflow Automation, Prompt Engineering, Autonomous Diagnostics</w:t>
      </w:r>
    </w:p>
    <w:p>
      <w:pPr>
        <w:spacing w:before="0" w:after="40"/>
      </w:pPr>
      <w:r>
        <w:rPr>
          <w:b/>
          <w:sz w:val="20"/>
        </w:rPr>
        <w:t xml:space="preserve">Languages &amp; Tools: </w:t>
      </w:r>
      <w:r>
        <w:rPr>
          <w:sz w:val="20"/>
        </w:rPr>
        <w:t>C#, Python, MSSQL, Microservices Orchestration, Structured Metadata Extraction</w:t>
      </w:r>
    </w:p>
    <w:p>
      <w:pPr>
        <w:spacing w:before="0" w:after="40"/>
      </w:pPr>
      <w:r>
        <w:rPr>
          <w:b/>
          <w:sz w:val="20"/>
        </w:rPr>
        <w:t xml:space="preserve">Leadership &amp; Influence: </w:t>
      </w:r>
      <w:r>
        <w:rPr>
          <w:sz w:val="20"/>
        </w:rPr>
        <w:t>Cross-functional Alignment, Executive Communication, Architectural Mentorship, Roadmap Influence, Stakeholder Advisory</w:t>
      </w:r>
    </w:p>
    <w:p>
      <w:pPr>
        <w:spacing w:before="160" w:after="40"/>
        <w:pBdr>
          <w:bottom w:val="single" w:sz="6" w:space="1" w:color="888888"/>
        </w:pBdr>
      </w:pPr>
      <w:r>
        <w:rPr>
          <w:b/>
          <w:color w:val="1F3A5F"/>
          <w:sz w:val="24"/>
        </w:rPr>
        <w:t>PROFESSIONAL EXPERIENCE</w:t>
      </w:r>
    </w:p>
    <w:p>
      <w:pPr>
        <w:spacing w:before="120" w:after="0"/>
      </w:pPr>
      <w:r>
        <w:rPr>
          <w:b/>
          <w:sz w:val="22"/>
        </w:rPr>
        <w:t>Solutions Architect | Harmonic | 2025 – Present</w:t>
      </w:r>
    </w:p>
    <w:p>
      <w:pPr>
        <w:spacing w:before="0" w:after="40"/>
      </w:pPr>
      <w:r>
        <w:rPr>
          <w:b w:val="0"/>
          <w:i/>
          <w:sz w:val="18"/>
        </w:rPr>
        <w:t>Remote</w:t>
      </w:r>
    </w:p>
    <w:p>
      <w:pPr>
        <w:pStyle w:val="ListBullet"/>
        <w:spacing w:before="0" w:after="40"/>
        <w:ind w:left="360"/>
      </w:pPr>
      <w:r>
        <w:rPr>
          <w:sz w:val="20"/>
        </w:rPr>
        <w:t>Accelerate customer acquisition and retention by designing end-to-end solution architectures for tier-1 broadcast and streaming operators, mapping complex customer requirements to scalable platform capabilities across cloud-native delivery pipelines.</w:t>
      </w:r>
    </w:p>
    <w:p>
      <w:pPr>
        <w:pStyle w:val="ListBullet"/>
        <w:spacing w:before="0" w:after="40"/>
        <w:ind w:left="360"/>
      </w:pPr>
      <w:r>
        <w:rPr>
          <w:sz w:val="20"/>
        </w:rPr>
        <w:t>Reduce integration risk for enterprise clients by architecting multi-platform delivery solutions that align API-first and event-driven integration patterns with existing customer CRM and operational systems.</w:t>
      </w:r>
    </w:p>
    <w:p>
      <w:pPr>
        <w:pStyle w:val="ListBullet"/>
        <w:spacing w:before="0" w:after="40"/>
        <w:ind w:left="360"/>
      </w:pPr>
      <w:r>
        <w:rPr>
          <w:sz w:val="20"/>
        </w:rPr>
        <w:t>Enable faster pre-sales cycles by translating deep technical architecture knowledge into clear, business-contextualized proposals for C-suite and engineering stakeholders simultaneously.</w:t>
      </w:r>
    </w:p>
    <w:p>
      <w:pPr>
        <w:pStyle w:val="ListBullet"/>
        <w:spacing w:before="0" w:after="40"/>
        <w:ind w:left="360"/>
      </w:pPr>
      <w:r>
        <w:rPr>
          <w:sz w:val="20"/>
        </w:rPr>
        <w:t>Protect long-term platform investment by guiding customers through build-vs-buy decisions, evaluating platform capabilities against enterprise architecture standards and scalability requirements.</w:t>
      </w:r>
    </w:p>
    <w:p>
      <w:pPr>
        <w:pStyle w:val="ListBullet"/>
        <w:spacing w:before="0" w:after="40"/>
        <w:ind w:left="360"/>
      </w:pPr>
      <w:r>
        <w:rPr>
          <w:sz w:val="20"/>
        </w:rPr>
        <w:t>Increase solution reliability for live and on-demand delivery customers by applying cloud-native design principles and multi-CDN integration strategies across customer-facing digital experiences.</w:t>
      </w:r>
    </w:p>
    <w:p>
      <w:pPr>
        <w:pStyle w:val="ListBullet"/>
        <w:spacing w:before="0" w:after="40"/>
        <w:ind w:left="360"/>
      </w:pPr>
      <w:r>
        <w:rPr>
          <w:sz w:val="20"/>
        </w:rPr>
        <w:t>Support enterprise architecture alignment by establishing integration reference patterns that reduce cross-domain dependency conflicts and accelerate time-to-value for customer deployments.</w:t>
      </w:r>
    </w:p>
    <w:p>
      <w:pPr>
        <w:spacing w:before="120" w:after="0"/>
      </w:pPr>
      <w:r>
        <w:rPr>
          <w:b/>
          <w:sz w:val="22"/>
        </w:rPr>
        <w:t>Founder and Principal R&amp;D Architect | RE Kreations LLC | 2017 – Present</w:t>
      </w:r>
    </w:p>
    <w:p>
      <w:pPr>
        <w:spacing w:before="0" w:after="40"/>
      </w:pPr>
      <w:r>
        <w:rPr>
          <w:b w:val="0"/>
          <w:i/>
          <w:sz w:val="18"/>
        </w:rPr>
        <w:t>Rockville, MD</w:t>
      </w:r>
    </w:p>
    <w:p>
      <w:pPr>
        <w:pStyle w:val="ListBullet"/>
        <w:spacing w:before="0" w:after="40"/>
        <w:ind w:left="360"/>
      </w:pPr>
      <w:r>
        <w:rPr>
          <w:sz w:val="20"/>
        </w:rPr>
        <w:t>Delivered production-grade AI orchestration platform for enterprise document automation by independently designing, building, and maintaining a Python-based multi-model LLM coordination system spanning Mixtral, Phi-3, OpenAI Codex, and Anthropic Claude — from MVP through client deployment.</w:t>
      </w:r>
    </w:p>
    <w:p>
      <w:pPr>
        <w:pStyle w:val="ListBullet"/>
        <w:spacing w:before="0" w:after="40"/>
        <w:ind w:left="360"/>
      </w:pPr>
      <w:r>
        <w:rPr>
          <w:sz w:val="20"/>
        </w:rPr>
        <w:t>Improved workflow reliability and auditability by engineering an autonomous diagnostics subsystem with token usage tracking, model call tracing, and self-repair feedback loops, applying broadcast-grade error recovery patterns to AI/LLM orchestration.</w:t>
      </w:r>
    </w:p>
    <w:p>
      <w:pPr>
        <w:pStyle w:val="ListBullet"/>
        <w:spacing w:before="0" w:after="40"/>
        <w:ind w:left="360"/>
      </w:pPr>
      <w:r>
        <w:rPr>
          <w:sz w:val="20"/>
        </w:rPr>
        <w:t>Enabled consistent, machine-parseable outputs across unstructured enterprise data sources by designing a structured output enforcement layer using Type A Markdown specification validation and automated format repair.</w:t>
      </w:r>
    </w:p>
    <w:p>
      <w:pPr>
        <w:pStyle w:val="ListBullet"/>
        <w:spacing w:before="0" w:after="40"/>
        <w:ind w:left="360"/>
      </w:pPr>
      <w:r>
        <w:rPr>
          <w:sz w:val="20"/>
        </w:rPr>
        <w:t>Reduced integration fragility for clients by architecting a modular, microservices-based multi-format ingestion pipeline supporting PDF, audio, email, and markdown sources with normalized metadata extraction at each stage.</w:t>
      </w:r>
    </w:p>
    <w:p>
      <w:pPr>
        <w:pStyle w:val="ListBullet"/>
        <w:spacing w:before="0" w:after="40"/>
        <w:ind w:left="360"/>
      </w:pPr>
      <w:r>
        <w:rPr>
          <w:sz w:val="20"/>
        </w:rPr>
        <w:t>Delivered measurable client outcomes across multiple contracted engagements by extending the platform architecture into emerging AI and SaaS environments, providing end-to-end implementation, training, and ongoing architectural consultation.</w:t>
      </w:r>
    </w:p>
    <w:p>
      <w:pPr>
        <w:pStyle w:val="ListBullet"/>
        <w:spacing w:before="0" w:after="40"/>
        <w:ind w:left="360"/>
      </w:pPr>
      <w:r>
        <w:rPr>
          <w:sz w:val="20"/>
        </w:rPr>
        <w:t>Established enterprise-grade standards for AI adoption by developing a proprietary prompt orchestration framework and audit corpus that provides full trace data for output validation — a direct analog to enterprise architecture governance and dependency transparency practices.</w:t>
      </w:r>
    </w:p>
    <w:p>
      <w:pPr>
        <w:spacing w:before="120" w:after="0"/>
      </w:pPr>
      <w:r>
        <w:rPr>
          <w:b/>
          <w:sz w:val="22"/>
        </w:rPr>
        <w:t>Principal End-to-End Architect | NBCUniversal | 2021 – 2025</w:t>
      </w:r>
    </w:p>
    <w:p>
      <w:pPr>
        <w:spacing w:before="0" w:after="40"/>
      </w:pPr>
      <w:r>
        <w:rPr>
          <w:b w:val="0"/>
          <w:i/>
          <w:sz w:val="18"/>
        </w:rPr>
        <w:t>Remote</w:t>
      </w:r>
    </w:p>
    <w:p>
      <w:pPr>
        <w:spacing w:before="0" w:after="40"/>
      </w:pPr>
      <w:r>
        <w:rPr>
          <w:b w:val="0"/>
          <w:i/>
          <w:sz w:val="20"/>
        </w:rPr>
        <w:t>During organizational restructuring in early 2025, I transitioned from NBCUniversal.</w:t>
      </w:r>
    </w:p>
    <w:p>
      <w:pPr>
        <w:pStyle w:val="ListBullet"/>
        <w:spacing w:before="0" w:after="40"/>
        <w:ind w:left="360"/>
      </w:pPr>
      <w:r>
        <w:rPr>
          <w:sz w:val="20"/>
        </w:rPr>
        <w:t>Delivered personalized fan experiences at unprecedented scale by architecting the Olympic Daily Recap platform — a GenAI-driven system generating 7M+ personalized video variants using AI voice synthesis, operating across enterprise content delivery infrastructure.</w:t>
      </w:r>
    </w:p>
    <w:p>
      <w:pPr>
        <w:pStyle w:val="ListBullet"/>
        <w:spacing w:before="0" w:after="40"/>
        <w:ind w:left="360"/>
      </w:pPr>
      <w:r>
        <w:rPr>
          <w:sz w:val="20"/>
        </w:rPr>
        <w:t>Increased ad revenue by over 200% by designing and implementing server-side and client-side ad insertion architectures that integrated with enterprise identity, entitlement, and CRM systems to enable dynamic, audience-targeted monetization at scale.</w:t>
      </w:r>
    </w:p>
    <w:p>
      <w:pPr>
        <w:pStyle w:val="ListBullet"/>
        <w:spacing w:before="0" w:after="40"/>
        <w:ind w:left="360"/>
      </w:pPr>
      <w:r>
        <w:rPr>
          <w:sz w:val="20"/>
        </w:rPr>
        <w:t>Reduced time-to-market for interactive sports features by establishing end-to-end application architectures for the Key Plays and Live Actions platforms, defining API-first integration patterns that connected real-time AI/ML pipelines to customer-facing digital experiences.</w:t>
      </w:r>
    </w:p>
    <w:p>
      <w:pPr>
        <w:pStyle w:val="ListBullet"/>
        <w:spacing w:before="0" w:after="40"/>
        <w:ind w:left="360"/>
      </w:pPr>
      <w:r>
        <w:rPr>
          <w:sz w:val="20"/>
        </w:rPr>
        <w:t>Aligned cross-functional product and engineering teams around scalable architectural standards by serving as principal architect across multiple concurrent product value streams — translating business capability requirements into reference architectures, integration guidelines, and governance checkpoints.</w:t>
      </w:r>
    </w:p>
    <w:p>
      <w:pPr>
        <w:pStyle w:val="ListBullet"/>
        <w:spacing w:before="0" w:after="40"/>
        <w:ind w:left="360"/>
      </w:pPr>
      <w:r>
        <w:rPr>
          <w:sz w:val="20"/>
        </w:rPr>
        <w:t>Identified and mitigated architectural risk across cross-domain dependencies by proactively mapping integration impacts between live event delivery systems, ad tech platforms, and enterprise identity services — enabling delivery teams to address blockers before they reached production.</w:t>
      </w:r>
    </w:p>
    <w:p>
      <w:pPr>
        <w:pStyle w:val="ListBullet"/>
        <w:spacing w:before="0" w:after="40"/>
        <w:ind w:left="360"/>
      </w:pPr>
      <w:r>
        <w:rPr>
          <w:sz w:val="20"/>
        </w:rPr>
        <w:t>Guided enterprise AI capability adoption by defining architectural principles governing LLM and generative AI integration, ensuring applied AI systems met enterprise standards for reliability, auditability, and integration with existing platform ecosystems.</w:t>
      </w:r>
    </w:p>
    <w:p>
      <w:pPr>
        <w:spacing w:before="120" w:after="0"/>
      </w:pPr>
      <w:r>
        <w:rPr>
          <w:b/>
          <w:sz w:val="22"/>
        </w:rPr>
        <w:t>Innovation and Emerging Technology Lead | Leidos | 2019 – 2020</w:t>
      </w:r>
    </w:p>
    <w:p>
      <w:pPr>
        <w:spacing w:before="0" w:after="40"/>
      </w:pPr>
      <w:r>
        <w:rPr>
          <w:b w:val="0"/>
          <w:i/>
          <w:sz w:val="18"/>
        </w:rPr>
        <w:t>Washington, DC</w:t>
      </w:r>
    </w:p>
    <w:p>
      <w:pPr>
        <w:pStyle w:val="ListBullet"/>
        <w:spacing w:before="0" w:after="40"/>
        <w:ind w:left="360"/>
      </w:pPr>
      <w:r>
        <w:rPr>
          <w:sz w:val="20"/>
        </w:rPr>
        <w:t>Accelerated government sector modernization decisions by delivering emerging technology architecture assessments that translated complex cloud-native, microservices, and AI capability evaluations into clear build-vs-buy frameworks for senior stakeholders.</w:t>
      </w:r>
    </w:p>
    <w:p>
      <w:pPr>
        <w:pStyle w:val="ListBullet"/>
        <w:spacing w:before="0" w:after="40"/>
        <w:ind w:left="360"/>
      </w:pPr>
      <w:r>
        <w:rPr>
          <w:sz w:val="20"/>
        </w:rPr>
        <w:t>Reduced risk in enterprise platform selections by providing pre- and post-sales architectural consultation that mapped client operational requirements to scalable integration architectures across government and enterprise environments.</w:t>
      </w:r>
    </w:p>
    <w:p>
      <w:pPr>
        <w:pStyle w:val="ListBullet"/>
        <w:spacing w:before="0" w:after="40"/>
        <w:ind w:left="360"/>
      </w:pPr>
      <w:r>
        <w:rPr>
          <w:sz w:val="20"/>
        </w:rPr>
        <w:t>Enabled faster capability digitization for agency clients by designing reference architecture frameworks that exposed current-state integration impacts and surfaced critical architectural decisions before program delivery began.</w:t>
      </w:r>
    </w:p>
    <w:p>
      <w:pPr>
        <w:pStyle w:val="ListBullet"/>
        <w:spacing w:before="0" w:after="40"/>
        <w:ind w:left="360"/>
      </w:pPr>
      <w:r>
        <w:rPr>
          <w:sz w:val="20"/>
        </w:rPr>
        <w:t>Increased stakeholder confidence in technology investments by communicating architectural tradeoffs and risk management strategies clearly to both technical teams and non-technical senior leadership across client engagements.</w:t>
      </w:r>
    </w:p>
    <w:p>
      <w:pPr>
        <w:spacing w:before="120" w:after="0"/>
      </w:pPr>
      <w:r>
        <w:rPr>
          <w:b/>
          <w:sz w:val="22"/>
        </w:rPr>
        <w:t>Sr. Solutions Architect | Ooyala | 2017 – 2018</w:t>
      </w:r>
    </w:p>
    <w:p>
      <w:pPr>
        <w:spacing w:before="0" w:after="40"/>
      </w:pPr>
      <w:r>
        <w:rPr>
          <w:b w:val="0"/>
          <w:i/>
          <w:sz w:val="18"/>
        </w:rPr>
        <w:t>Remote</w:t>
      </w:r>
    </w:p>
    <w:p>
      <w:pPr>
        <w:pStyle w:val="ListBullet"/>
        <w:spacing w:before="0" w:after="40"/>
        <w:ind w:left="360"/>
      </w:pPr>
      <w:r>
        <w:rPr>
          <w:sz w:val="20"/>
        </w:rPr>
        <w:t>Accelerated enterprise client onboarding by designing solution architectures that integrated Ooyala's SaaS media lifecycle platform with existing customer CRM, metadata, and operational systems — reducing integration complexity and time-to-value.</w:t>
      </w:r>
    </w:p>
    <w:p>
      <w:pPr>
        <w:pStyle w:val="ListBullet"/>
        <w:spacing w:before="0" w:after="40"/>
        <w:ind w:left="360"/>
      </w:pPr>
      <w:r>
        <w:rPr>
          <w:sz w:val="20"/>
        </w:rPr>
        <w:t>Improved C-suite alignment for media enterprise clients by translating complex multi-platform workflow requirements into clearly articulated architectural proposals, bridging technical delivery teams and executive stakeholders.</w:t>
      </w:r>
    </w:p>
    <w:p>
      <w:pPr>
        <w:pStyle w:val="ListBullet"/>
        <w:spacing w:before="0" w:after="40"/>
        <w:ind w:left="360"/>
      </w:pPr>
      <w:r>
        <w:rPr>
          <w:sz w:val="20"/>
        </w:rPr>
        <w:t>Reduced architectural risk for large-scale deployments by evaluating cross-domain integration dependencies between content management, delivery, and monetization platforms, providing pragmatic risk mitigation strategies before contract execution.</w:t>
      </w:r>
    </w:p>
    <w:p>
      <w:pPr>
        <w:pStyle w:val="ListBullet"/>
        <w:spacing w:before="0" w:after="40"/>
        <w:ind w:left="360"/>
      </w:pPr>
      <w:r>
        <w:rPr>
          <w:sz w:val="20"/>
        </w:rPr>
        <w:t>Increased solution scalability for enterprise customers by recommending API-first integration patterns and event-driven design approaches that aligned client-facing digital experiences with enterprise platform standards.</w:t>
      </w:r>
    </w:p>
    <w:p>
      <w:pPr>
        <w:spacing w:before="120" w:after="0"/>
      </w:pPr>
      <w:r>
        <w:rPr>
          <w:b/>
          <w:sz w:val="22"/>
        </w:rPr>
        <w:t>Principal Engineer, Video-On-Demand | Time Warner Cable | 2012 – 2017</w:t>
      </w:r>
    </w:p>
    <w:p>
      <w:pPr>
        <w:spacing w:before="0" w:after="40"/>
      </w:pPr>
      <w:r>
        <w:rPr>
          <w:b w:val="0"/>
          <w:i/>
          <w:sz w:val="18"/>
        </w:rPr>
        <w:t>Remote</w:t>
      </w:r>
    </w:p>
    <w:p>
      <w:pPr>
        <w:pStyle w:val="ListBullet"/>
        <w:spacing w:before="0" w:after="40"/>
        <w:ind w:left="360"/>
      </w:pPr>
      <w:r>
        <w:rPr>
          <w:sz w:val="20"/>
        </w:rPr>
        <w:t>Delivered a centralized, enterprise-scale VOD platform architecture by independently designing the application and integration layer that unified content ingest, DRM encryption, metadata management, and multi-device delivery across Time Warner Cable's national subscriber base.</w:t>
      </w:r>
    </w:p>
    <w:p>
      <w:pPr>
        <w:pStyle w:val="ListBullet"/>
        <w:spacing w:before="0" w:after="40"/>
        <w:ind w:left="360"/>
      </w:pPr>
      <w:r>
        <w:rPr>
          <w:sz w:val="20"/>
        </w:rPr>
        <w:t>Protected revenue and content rights for studio and network partners by architecting DRM and encryption standards into the core platform — establishing security reference architecture that governed all downstream digital delivery integrations.</w:t>
      </w:r>
    </w:p>
    <w:p>
      <w:pPr>
        <w:pStyle w:val="ListBullet"/>
        <w:spacing w:before="0" w:after="40"/>
        <w:ind w:left="360"/>
      </w:pPr>
      <w:r>
        <w:rPr>
          <w:sz w:val="20"/>
        </w:rPr>
        <w:t>Accelerated OTT transition for millions of subscribers by leading the architectural migration from set-top box-centric delivery to cloud-native, API-driven application architecture, enabling consistent customer experiences across web, mobile, and connected device platforms.</w:t>
      </w:r>
    </w:p>
    <w:p>
      <w:pPr>
        <w:pStyle w:val="ListBullet"/>
        <w:spacing w:before="0" w:after="40"/>
        <w:ind w:left="360"/>
      </w:pPr>
      <w:r>
        <w:rPr>
          <w:sz w:val="20"/>
        </w:rPr>
        <w:t>Reduced integration complexity across enterprise systems by designing scalable API and event-driven integration patterns connecting VOD platform services to enterprise identity, entitlement, CRM, and billing systems.</w:t>
      </w:r>
    </w:p>
    <w:p>
      <w:pPr>
        <w:pStyle w:val="ListBullet"/>
        <w:spacing w:before="0" w:after="40"/>
        <w:ind w:left="360"/>
      </w:pPr>
      <w:r>
        <w:rPr>
          <w:sz w:val="20"/>
        </w:rPr>
        <w:t>Established architectural governance practices by defining platform standards and integration reference architectures that guided multiple delivery teams working across shared enterprise infrastructure — an early analog to Architecture Review Board participation.</w:t>
      </w:r>
    </w:p>
    <w:p>
      <w:pPr>
        <w:spacing w:before="120" w:after="0"/>
      </w:pPr>
      <w:r>
        <w:rPr>
          <w:b/>
          <w:sz w:val="22"/>
        </w:rPr>
        <w:t>Manager, Digital Media Delivery | Time Warner Cable | 2006 – 2012</w:t>
      </w:r>
    </w:p>
    <w:p>
      <w:pPr>
        <w:spacing w:before="0" w:after="40"/>
      </w:pPr>
      <w:r>
        <w:rPr>
          <w:b w:val="0"/>
          <w:i/>
          <w:sz w:val="18"/>
        </w:rPr>
        <w:t>Sterling, VA</w:t>
      </w:r>
    </w:p>
    <w:p>
      <w:pPr>
        <w:pStyle w:val="ListBullet"/>
        <w:spacing w:before="0" w:after="40"/>
        <w:ind w:left="360"/>
      </w:pPr>
      <w:r>
        <w:rPr>
          <w:sz w:val="20"/>
        </w:rPr>
        <w:t>Grew digital ad revenue by over 350% by architecting dynamic ad insertion and server-side ad delivery systems that transformed Time Warner Cable's digital media platform from a content-only experience into a measurable monetization platform.</w:t>
      </w:r>
    </w:p>
    <w:p>
      <w:pPr>
        <w:pStyle w:val="ListBullet"/>
        <w:spacing w:before="0" w:after="40"/>
        <w:ind w:left="360"/>
      </w:pPr>
      <w:r>
        <w:rPr>
          <w:sz w:val="20"/>
        </w:rPr>
        <w:t>Anticipated accelerating OTT adoption years ahead of mainstream market shift by building early prototypes that directly informed the TWCTV application architecture — establishing the foundational DRM, metadata, and delivery integration patterns used by millions of subscribers.</w:t>
      </w:r>
    </w:p>
    <w:p>
      <w:pPr>
        <w:pStyle w:val="ListBullet"/>
        <w:spacing w:before="0" w:after="40"/>
        <w:ind w:left="360"/>
      </w:pPr>
      <w:r>
        <w:rPr>
          <w:sz w:val="20"/>
        </w:rPr>
        <w:t>Enabled SaaS transition for digital media operations by redesigning the application and integration architecture from point-to-point delivery dependencies to a modular, service-oriented platform capable of supporting multi-partner content and advertising integrations.</w:t>
      </w:r>
    </w:p>
    <w:p>
      <w:pPr>
        <w:pStyle w:val="ListBullet"/>
        <w:spacing w:before="0" w:after="40"/>
        <w:ind w:left="360"/>
      </w:pPr>
      <w:r>
        <w:rPr>
          <w:sz w:val="20"/>
        </w:rPr>
        <w:t>Reduced enterprise integration risk across CRM, ad, and content systems by designing API-first integration architectures that decoupled customer-facing digital experiences from backend operational platform dependencies.</w:t>
      </w:r>
    </w:p>
    <w:p>
      <w:pPr>
        <w:pStyle w:val="ListBullet"/>
        <w:spacing w:before="0" w:after="40"/>
        <w:ind w:left="360"/>
      </w:pPr>
      <w:r>
        <w:rPr>
          <w:sz w:val="20"/>
        </w:rPr>
        <w:t>Delivered measurable improvements in platform reliability and scalability by establishing application architecture standards and integration governance practices that reduced cross-team delivery conflicts and improved time-to-market for new digital products.</w:t>
      </w:r>
    </w:p>
    <w:p>
      <w:pPr>
        <w:spacing w:before="120" w:after="0"/>
      </w:pPr>
      <w:r>
        <w:rPr>
          <w:b/>
          <w:sz w:val="22"/>
        </w:rPr>
        <w:t>Sr. Live Events Producer | AOL | 2001 – 2006</w:t>
      </w:r>
    </w:p>
    <w:p>
      <w:pPr>
        <w:spacing w:before="0" w:after="40"/>
      </w:pPr>
      <w:r>
        <w:rPr>
          <w:b w:val="0"/>
          <w:i/>
          <w:sz w:val="18"/>
        </w:rPr>
        <w:t>Sterling, VA</w:t>
      </w:r>
    </w:p>
    <w:p>
      <w:pPr>
        <w:pStyle w:val="ListBullet"/>
        <w:spacing w:before="0" w:after="40"/>
        <w:ind w:left="360"/>
      </w:pPr>
      <w:r>
        <w:rPr>
          <w:sz w:val="20"/>
        </w:rPr>
        <w:t>Achieved a world record in concurrent streaming by architecting and operating the Live 8 Concert digital broadcast — delivering simultaneous live streams across 8 global sites, establishing AOL as the first major internet platform to execute a live global broadcast at that scale.</w:t>
      </w:r>
    </w:p>
    <w:p>
      <w:pPr>
        <w:pStyle w:val="ListBullet"/>
        <w:spacing w:before="0" w:after="40"/>
        <w:ind w:left="360"/>
      </w:pPr>
      <w:r>
        <w:rPr>
          <w:sz w:val="20"/>
        </w:rPr>
        <w:t>Built the industry's first all-digital broadcast operations center for streaming and OTT delivery by designing end-to-end application and integration architecture that replaced traditional broadcast infrastructure with a fully software-defined production and delivery platform.</w:t>
      </w:r>
    </w:p>
    <w:p>
      <w:pPr>
        <w:pStyle w:val="ListBullet"/>
        <w:spacing w:before="0" w:after="40"/>
        <w:ind w:left="360"/>
      </w:pPr>
      <w:r>
        <w:rPr>
          <w:sz w:val="20"/>
        </w:rPr>
        <w:t>Enabled enterprise-scale live event delivery years before the OTT market matured by designing cloud-native-adjacent architectures for high-concurrency streaming, establishing integration patterns between content ingest, encoding, metadata, and global delivery systems that informed industry approaches for years following.</w:t>
      </w:r>
    </w:p>
    <w:p>
      <w:pPr>
        <w:pStyle w:val="ListBullet"/>
        <w:spacing w:before="0" w:after="40"/>
        <w:ind w:left="360"/>
      </w:pPr>
      <w:r>
        <w:rPr>
          <w:sz w:val="20"/>
        </w:rPr>
        <w:t>Delivered consistent customer-facing digital experiences across live and on-demand formats by architecting multi-platform application integrations that aligned content management, identity, and delivery systems into a unified, scalable operational platform.</w:t>
      </w:r>
    </w:p>
    <w:p>
      <w:pPr>
        <w:pStyle w:val="ListBullet"/>
        <w:spacing w:before="0" w:after="40"/>
        <w:ind w:left="360"/>
      </w:pPr>
      <w:r>
        <w:rPr>
          <w:sz w:val="20"/>
        </w:rPr>
        <w:t>Increased reliability for high-stakes live event delivery by designing redundancy and failover architectures into the broadcast operations platform, applying engineering discipline to an area of the industry previously dependent on manual intervention and fragile point-to-point integrations.</w:t>
      </w:r>
    </w:p>
    <w:p>
      <w:pPr>
        <w:spacing w:before="160" w:after="40"/>
        <w:pBdr>
          <w:bottom w:val="single" w:sz="6" w:space="1" w:color="888888"/>
        </w:pBdr>
      </w:pPr>
      <w:r>
        <w:rPr>
          <w:b/>
          <w:color w:val="1F3A5F"/>
          <w:sz w:val="24"/>
        </w:rPr>
        <w:t>PATENTS (7 Granted | 3 Pending)</w:t>
      </w:r>
    </w:p>
    <w:p>
      <w:pPr>
        <w:spacing w:before="0" w:after="40"/>
      </w:pPr>
      <w:r>
        <w:rPr>
          <w:b/>
          <w:i w:val="0"/>
          <w:sz w:val="20"/>
        </w:rPr>
        <w:t>Granted:</w:t>
      </w:r>
    </w:p>
    <w:p>
      <w:pPr>
        <w:pStyle w:val="ListBullet"/>
        <w:spacing w:before="0" w:after="40"/>
        <w:ind w:left="360"/>
      </w:pPr>
      <w:r>
        <w:rPr>
          <w:sz w:val="20"/>
        </w:rPr>
        <w:t>US 12382148 — Apparatus and Methods for Thumbnail Generation (TWC, 2025)</w:t>
      </w:r>
    </w:p>
    <w:p>
      <w:pPr>
        <w:pStyle w:val="ListBullet"/>
        <w:spacing w:before="0" w:after="40"/>
        <w:ind w:left="360"/>
      </w:pPr>
      <w:r>
        <w:rPr>
          <w:sz w:val="20"/>
        </w:rPr>
        <w:t>US 11310567 — Apparatus and Methods for Thumbnail Generation (TWC, 2022)</w:t>
      </w:r>
    </w:p>
    <w:p>
      <w:pPr>
        <w:pStyle w:val="ListBullet"/>
        <w:spacing w:before="0" w:after="40"/>
        <w:ind w:left="360"/>
      </w:pPr>
      <w:r>
        <w:rPr>
          <w:sz w:val="20"/>
        </w:rPr>
        <w:t>US 10667018 — Asynchronous Workflows (TWC, 2020)</w:t>
      </w:r>
    </w:p>
    <w:p>
      <w:pPr>
        <w:pStyle w:val="ListBullet"/>
        <w:spacing w:before="0" w:after="40"/>
        <w:ind w:left="360"/>
      </w:pPr>
      <w:r>
        <w:rPr>
          <w:sz w:val="20"/>
        </w:rPr>
        <w:t>US 10375452 — Apparatus and Methods for Thumbnail Generation (TWC, 2019)</w:t>
      </w:r>
    </w:p>
    <w:p>
      <w:pPr>
        <w:pStyle w:val="ListBullet"/>
        <w:spacing w:before="0" w:after="40"/>
        <w:ind w:left="360"/>
      </w:pPr>
      <w:r>
        <w:rPr>
          <w:sz w:val="20"/>
        </w:rPr>
        <w:t>US 8769151 — Adding Advertising Content to Media Content (Facebook, 2014)</w:t>
      </w:r>
    </w:p>
    <w:p>
      <w:pPr>
        <w:pStyle w:val="ListBullet"/>
        <w:spacing w:before="0" w:after="40"/>
        <w:ind w:left="360"/>
      </w:pPr>
      <w:r>
        <w:rPr>
          <w:sz w:val="20"/>
        </w:rPr>
        <w:t>US 8762575 — Inserting Advertising Content (Facebook, 2014)</w:t>
      </w:r>
    </w:p>
    <w:p>
      <w:pPr>
        <w:pStyle w:val="ListBullet"/>
        <w:spacing w:before="0" w:after="40"/>
        <w:ind w:left="360"/>
      </w:pPr>
      <w:r>
        <w:rPr>
          <w:sz w:val="20"/>
        </w:rPr>
        <w:t>US 8028092 — Inserting Advertising Content (AOL, 2011)</w:t>
      </w:r>
    </w:p>
    <w:p>
      <w:pPr>
        <w:spacing w:before="0" w:after="40"/>
      </w:pPr>
      <w:r>
        <w:rPr>
          <w:b/>
          <w:i w:val="0"/>
          <w:sz w:val="20"/>
        </w:rPr>
        <w:t>Pending:</w:t>
      </w:r>
    </w:p>
    <w:p>
      <w:pPr>
        <w:pStyle w:val="ListBullet"/>
        <w:spacing w:before="0" w:after="40"/>
        <w:ind w:left="360"/>
      </w:pPr>
      <w:r>
        <w:rPr>
          <w:sz w:val="20"/>
        </w:rPr>
        <w:t>US 20260057418 — Generative AI Creative Platform (NBCU, 2026)</w:t>
      </w:r>
    </w:p>
    <w:p>
      <w:pPr>
        <w:pStyle w:val="ListBullet"/>
        <w:spacing w:before="0" w:after="40"/>
        <w:ind w:left="360"/>
      </w:pPr>
      <w:r>
        <w:rPr>
          <w:sz w:val="20"/>
        </w:rPr>
        <w:t>US 20250203152 — Timed Metadata for Overlays (NBCU, 2025)</w:t>
      </w:r>
    </w:p>
    <w:p>
      <w:pPr>
        <w:pStyle w:val="ListBullet"/>
        <w:spacing w:before="0" w:after="40"/>
        <w:ind w:left="360"/>
      </w:pPr>
      <w:r>
        <w:rPr>
          <w:sz w:val="20"/>
        </w:rPr>
        <w:t>US 20240430496 — Dynamic In-Scene Secondary Content Insertion (NBCU, 2024)</w:t>
      </w:r>
    </w:p>
    <w:p>
      <w:pPr>
        <w:spacing w:before="160" w:after="40"/>
        <w:pBdr>
          <w:bottom w:val="single" w:sz="6" w:space="1" w:color="888888"/>
        </w:pBdr>
      </w:pPr>
      <w:r>
        <w:rPr>
          <w:b/>
          <w:color w:val="1F3A5F"/>
          <w:sz w:val="24"/>
        </w:rPr>
        <w:t>AWARDS</w:t>
      </w:r>
    </w:p>
    <w:p>
      <w:pPr>
        <w:pStyle w:val="ListBullet"/>
        <w:spacing w:before="0" w:after="40"/>
        <w:ind w:left="360"/>
      </w:pPr>
      <w:r>
        <w:rPr>
          <w:sz w:val="20"/>
        </w:rPr>
        <w:t>Outstanding Interactive Experience Emmy Award (2025) — NBCUniversal, Paris 2024 Olympics; individually named Software Developer</w:t>
      </w:r>
    </w:p>
    <w:p>
      <w:pPr>
        <w:pStyle w:val="ListBullet"/>
        <w:spacing w:before="0" w:after="40"/>
        <w:ind w:left="360"/>
      </w:pPr>
      <w:r>
        <w:rPr>
          <w:sz w:val="20"/>
        </w:rPr>
        <w:t>Technology &amp; Engineering Emmy Award (2023) — NBCUniversal, Key Plays AI/ML sports highlights platform</w:t>
      </w:r>
    </w:p>
    <w:p>
      <w:pPr>
        <w:pStyle w:val="ListBullet"/>
        <w:spacing w:before="0" w:after="40"/>
        <w:ind w:left="360"/>
      </w:pPr>
      <w:r>
        <w:rPr>
          <w:sz w:val="20"/>
        </w:rPr>
        <w:t>Emmy Award (2014) — Time Warner Cable, TWCTV Application (OTT innovation)</w:t>
      </w:r>
    </w:p>
    <w:p>
      <w:pPr>
        <w:pStyle w:val="ListBullet"/>
        <w:spacing w:before="0" w:after="40"/>
        <w:ind w:left="360"/>
      </w:pPr>
      <w:r>
        <w:rPr>
          <w:sz w:val="20"/>
        </w:rPr>
        <w:t>Emmy Award (2005) — AOL, Live 8 Concert (world-record concurrent live streaming)</w:t>
      </w:r>
    </w:p>
    <w:p>
      <w:pPr>
        <w:spacing w:before="160" w:after="40"/>
        <w:pBdr>
          <w:bottom w:val="single" w:sz="6" w:space="1" w:color="888888"/>
        </w:pBdr>
      </w:pPr>
      <w:r>
        <w:rPr>
          <w:b/>
          <w:color w:val="1F3A5F"/>
          <w:sz w:val="24"/>
        </w:rPr>
        <w:t>PROFESSIONAL AFFILIATIONS</w:t>
      </w:r>
    </w:p>
    <w:p>
      <w:pPr>
        <w:pStyle w:val="ListBullet"/>
        <w:spacing w:before="0" w:after="40"/>
        <w:ind w:left="360"/>
      </w:pPr>
      <w:r>
        <w:rPr>
          <w:sz w:val="20"/>
        </w:rPr>
        <w:t>Television Academy — Science and Technology Peer Group Member</w:t>
      </w:r>
    </w:p>
    <w:p>
      <w:pPr>
        <w:spacing w:before="160" w:after="40"/>
        <w:pBdr>
          <w:bottom w:val="single" w:sz="6" w:space="1" w:color="888888"/>
        </w:pBdr>
      </w:pPr>
      <w:r>
        <w:rPr>
          <w:b/>
          <w:color w:val="1F3A5F"/>
          <w:sz w:val="24"/>
        </w:rPr>
        <w:t>EDUCATION</w:t>
      </w:r>
    </w:p>
    <w:p>
      <w:pPr>
        <w:spacing w:before="0" w:after="40"/>
      </w:pPr>
      <w:r>
        <w:rPr>
          <w:b w:val="0"/>
          <w:i w:val="0"/>
          <w:sz w:val="20"/>
        </w:rPr>
        <w:t>University of Maryland, College Park | 1990 – 1994</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