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sz w:val="36"/>
        </w:rPr>
        <w:t>ERIC MANCHESTER</w:t>
      </w:r>
    </w:p>
    <w:p>
      <w:pPr>
        <w:spacing w:before="0" w:after="120"/>
        <w:jc w:val="center"/>
      </w:pPr>
      <w:r>
        <w:rPr>
          <w:b w:val="0"/>
          <w:i w:val="0"/>
          <w:sz w:val="20"/>
        </w:rPr>
        <w:t>Rockville, MD  |  (240) 481-6737  |  eric.manchester@gmail.com  |  linkedin.com/in/eric-manchester</w:t>
      </w:r>
    </w:p>
    <w:p>
      <w:pPr>
        <w:spacing w:before="160" w:after="40"/>
        <w:pBdr>
          <w:bottom w:val="single" w:sz="6" w:space="1" w:color="888888"/>
        </w:pBdr>
      </w:pPr>
      <w:r>
        <w:rPr>
          <w:b/>
          <w:color w:val="1F3A5F"/>
          <w:sz w:val="24"/>
        </w:rPr>
        <w:t>PROFESSIONAL SUMMARY</w:t>
      </w:r>
    </w:p>
    <w:p>
      <w:pPr>
        <w:spacing w:before="0" w:after="80"/>
      </w:pPr>
      <w:r>
        <w:rPr>
          <w:b w:val="0"/>
          <w:i w:val="0"/>
          <w:sz w:val="20"/>
        </w:rPr>
        <w:t>Technology executive with 20+ years of progressive IT leadership spanning enterprise platform architecture, multi-vendor operations, and large-scale systems delivery across media, government, and commercial sectors. Demonstrated track record of building and sustaining financially self-supporting technology units, securing business through competitive solutions development, and translating complex technical requirements into actionable strategies for senior leadership and external stakeholders. Bridges the gap between engineering teams and executive decision-makers with equal fluency, having secured buy-in for major platform transformations at every organizational level. Brings a systems-thinking approach to organizational management, budget planning, staff development, and cross-functional collaboration that positions technology units for long-term competitive sustainability.</w:t>
      </w:r>
    </w:p>
    <w:p>
      <w:pPr>
        <w:spacing w:before="160" w:after="40"/>
        <w:pBdr>
          <w:bottom w:val="single" w:sz="6" w:space="1" w:color="888888"/>
        </w:pBdr>
      </w:pPr>
      <w:r>
        <w:rPr>
          <w:b/>
          <w:color w:val="1F3A5F"/>
          <w:sz w:val="24"/>
        </w:rPr>
        <w:t>CORE TECHNICAL SKILLS</w:t>
      </w:r>
    </w:p>
    <w:p>
      <w:pPr>
        <w:spacing w:before="0" w:after="40"/>
      </w:pPr>
      <w:r>
        <w:rPr>
          <w:b/>
          <w:sz w:val="20"/>
        </w:rPr>
        <w:t xml:space="preserve">Leadership &amp; Management: </w:t>
      </w:r>
      <w:r>
        <w:rPr>
          <w:sz w:val="20"/>
        </w:rPr>
        <w:t>Executive leadership, staff development, performance management, delegation, cross-functional collaboration, coaching and mentoring</w:t>
      </w:r>
    </w:p>
    <w:p>
      <w:pPr>
        <w:spacing w:before="0" w:after="40"/>
      </w:pPr>
      <w:r>
        <w:rPr>
          <w:b/>
          <w:sz w:val="20"/>
        </w:rPr>
        <w:t xml:space="preserve">Financial &amp; Operations: </w:t>
      </w:r>
      <w:r>
        <w:rPr>
          <w:sz w:val="20"/>
        </w:rPr>
        <w:t>Budget planning and allocation, financial sustainability, business development, vendor management, SaaS procurement</w:t>
      </w:r>
    </w:p>
    <w:p>
      <w:pPr>
        <w:spacing w:before="0" w:after="40"/>
      </w:pPr>
      <w:r>
        <w:rPr>
          <w:b/>
          <w:sz w:val="20"/>
        </w:rPr>
        <w:t xml:space="preserve">Technology &amp; Architecture: </w:t>
      </w:r>
      <w:r>
        <w:rPr>
          <w:sz w:val="20"/>
        </w:rPr>
        <w:t>IT infrastructure, network and platform architecture, cloud-native systems, content delivery, systems integration</w:t>
      </w:r>
    </w:p>
    <w:p>
      <w:pPr>
        <w:spacing w:before="0" w:after="40"/>
      </w:pPr>
      <w:r>
        <w:rPr>
          <w:b/>
          <w:sz w:val="20"/>
        </w:rPr>
        <w:t xml:space="preserve">Communication &amp; Stakeholder Engagement: </w:t>
      </w:r>
      <w:r>
        <w:rPr>
          <w:sz w:val="20"/>
        </w:rPr>
        <w:t>Executive presentations, written and oral communication, stakeholder relationship management, national conference representation</w:t>
      </w:r>
    </w:p>
    <w:p>
      <w:pPr>
        <w:spacing w:before="0" w:after="40"/>
      </w:pPr>
      <w:r>
        <w:rPr>
          <w:b/>
          <w:sz w:val="20"/>
        </w:rPr>
        <w:t xml:space="preserve">Project &amp; Program Management: </w:t>
      </w:r>
      <w:r>
        <w:rPr>
          <w:sz w:val="20"/>
        </w:rPr>
        <w:t>Project scope definition, risk assessment, Agile methodologies, multi-vendor coordination, deadline management</w:t>
      </w:r>
    </w:p>
    <w:p>
      <w:pPr>
        <w:spacing w:before="0" w:after="40"/>
      </w:pPr>
      <w:r>
        <w:rPr>
          <w:b/>
          <w:sz w:val="20"/>
        </w:rPr>
        <w:t xml:space="preserve">Data &amp; Strategy: </w:t>
      </w:r>
      <w:r>
        <w:rPr>
          <w:sz w:val="20"/>
        </w:rPr>
        <w:t>Data-informed decision making, multi-year strategic planning, competitive market analysis, solution design</w:t>
      </w:r>
    </w:p>
    <w:p>
      <w:pPr>
        <w:spacing w:before="160" w:after="40"/>
        <w:pBdr>
          <w:bottom w:val="single" w:sz="6" w:space="1" w:color="888888"/>
        </w:pBdr>
      </w:pPr>
      <w:r>
        <w:rPr>
          <w:b/>
          <w:color w:val="1F3A5F"/>
          <w:sz w:val="24"/>
        </w:rPr>
        <w:t>PROFESSIONAL EXPERIENCE</w:t>
      </w:r>
    </w:p>
    <w:p>
      <w:pPr>
        <w:spacing w:before="120" w:after="0"/>
      </w:pPr>
      <w:r>
        <w:rPr>
          <w:b/>
          <w:sz w:val="22"/>
        </w:rPr>
        <w:t>Solutions Architect | Harmonic | 2025 – Present</w:t>
      </w:r>
    </w:p>
    <w:p>
      <w:pPr>
        <w:spacing w:before="0" w:after="40"/>
      </w:pPr>
      <w:r>
        <w:rPr>
          <w:b w:val="0"/>
          <w:i/>
          <w:sz w:val="18"/>
        </w:rPr>
        <w:t>Remote</w:t>
      </w:r>
    </w:p>
    <w:p>
      <w:pPr>
        <w:pStyle w:val="ListBullet"/>
        <w:spacing w:before="0" w:after="40"/>
        <w:ind w:left="360"/>
      </w:pPr>
      <w:r>
        <w:rPr>
          <w:sz w:val="20"/>
        </w:rPr>
        <w:t>Translate complex customer requirements into scalable solution architectures for tier-1 broadcast and media operators, aligning technical designs with measurable business outcomes and long-term platform sustainability.</w:t>
      </w:r>
    </w:p>
    <w:p>
      <w:pPr>
        <w:pStyle w:val="ListBullet"/>
        <w:spacing w:before="0" w:after="40"/>
        <w:ind w:left="360"/>
      </w:pPr>
      <w:r>
        <w:rPr>
          <w:sz w:val="20"/>
        </w:rPr>
        <w:t>Serve as the primary technical liaison between engineering teams and client executives, adapting communication style across audiences from infrastructure engineers to C-suite stakeholders to drive informed decision-making.</w:t>
      </w:r>
    </w:p>
    <w:p>
      <w:pPr>
        <w:pStyle w:val="ListBullet"/>
        <w:spacing w:before="0" w:after="40"/>
        <w:ind w:left="360"/>
      </w:pPr>
      <w:r>
        <w:rPr>
          <w:sz w:val="20"/>
        </w:rPr>
        <w:t>Evaluate emerging platform capabilities and map them to customer use cases, identifying competitive differentiation opportunities and recommending solution configurations that maximize client value.</w:t>
      </w:r>
    </w:p>
    <w:p>
      <w:pPr>
        <w:pStyle w:val="ListBullet"/>
        <w:spacing w:before="0" w:after="40"/>
        <w:ind w:left="360"/>
      </w:pPr>
      <w:r>
        <w:rPr>
          <w:sz w:val="20"/>
        </w:rPr>
        <w:t>Coordinate cross-functional delivery teams spanning sales, engineering, and product to ensure customer requirements are accurately scoped, resourced, and executed against defined timelines.</w:t>
      </w:r>
    </w:p>
    <w:p>
      <w:pPr>
        <w:pStyle w:val="ListBullet"/>
        <w:spacing w:before="0" w:after="40"/>
        <w:ind w:left="360"/>
      </w:pPr>
      <w:r>
        <w:rPr>
          <w:sz w:val="20"/>
        </w:rPr>
        <w:t>Develop and deliver technical presentations and demonstrations to enterprise clients and conference audiences, communicating complex platform capabilities in accessible, outcome-focused terms.</w:t>
      </w:r>
    </w:p>
    <w:p>
      <w:pPr>
        <w:pStyle w:val="ListBullet"/>
        <w:spacing w:before="0" w:after="40"/>
        <w:ind w:left="360"/>
      </w:pPr>
      <w:r>
        <w:rPr>
          <w:sz w:val="20"/>
        </w:rPr>
        <w:t>Manage multi-stakeholder engagement across pre-sales and post-sales cycles, establishing trust-based relationships with client technical directors and procurement leads that support long-term account growth.</w:t>
      </w:r>
    </w:p>
    <w:p>
      <w:pPr>
        <w:spacing w:before="120" w:after="0"/>
      </w:pPr>
      <w:r>
        <w:rPr>
          <w:b/>
          <w:sz w:val="22"/>
        </w:rPr>
        <w:t>Founder and Principal R&amp;D Architect | RE Kreations LLC | 2017 – Present</w:t>
      </w:r>
    </w:p>
    <w:p>
      <w:pPr>
        <w:spacing w:before="0" w:after="40"/>
      </w:pPr>
      <w:r>
        <w:rPr>
          <w:b w:val="0"/>
          <w:i/>
          <w:sz w:val="18"/>
        </w:rPr>
        <w:t>Rockville, MD</w:t>
      </w:r>
    </w:p>
    <w:p>
      <w:pPr>
        <w:pStyle w:val="ListBullet"/>
        <w:spacing w:before="0" w:after="40"/>
        <w:ind w:left="360"/>
      </w:pPr>
      <w:r>
        <w:rPr>
          <w:sz w:val="20"/>
        </w:rPr>
        <w:t>Founded and operate an independent R&amp;D and technology services firm, managing all business functions including financial planning, vendor relationships, client development, and project delivery end-to-end.</w:t>
      </w:r>
    </w:p>
    <w:p>
      <w:pPr>
        <w:pStyle w:val="ListBullet"/>
        <w:spacing w:before="0" w:after="40"/>
        <w:ind w:left="360"/>
      </w:pPr>
      <w:r>
        <w:rPr>
          <w:sz w:val="20"/>
        </w:rPr>
        <w:t>Designed and delivered full-lifecycle technology platforms for real customers, independently scoping requirements, architecting solutions, and iterating through production — demonstrating the same autonomy and accountability expected of a self-supporting organizational unit.</w:t>
      </w:r>
    </w:p>
    <w:p>
      <w:pPr>
        <w:pStyle w:val="ListBullet"/>
        <w:spacing w:before="0" w:after="40"/>
        <w:ind w:left="360"/>
      </w:pPr>
      <w:r>
        <w:rPr>
          <w:sz w:val="20"/>
        </w:rPr>
        <w:t>Applied multi-model AI and LLM orchestration pipelines to automate complex workflows, evaluating emerging tools against business requirements and deploying production-grade systems without external engineering support.</w:t>
      </w:r>
    </w:p>
    <w:p>
      <w:pPr>
        <w:pStyle w:val="ListBullet"/>
        <w:spacing w:before="0" w:after="40"/>
        <w:ind w:left="360"/>
      </w:pPr>
      <w:r>
        <w:rPr>
          <w:sz w:val="20"/>
        </w:rPr>
        <w:t>Managed all financial operations including budget planning, cost allocation, and revenue sustainability, building a model where technology investment decisions were tied directly to measurable business returns.</w:t>
      </w:r>
    </w:p>
    <w:p>
      <w:pPr>
        <w:pStyle w:val="ListBullet"/>
        <w:spacing w:before="0" w:after="40"/>
        <w:ind w:left="360"/>
      </w:pPr>
      <w:r>
        <w:rPr>
          <w:sz w:val="20"/>
        </w:rPr>
        <w:t>Conducted ongoing competitive analysis and market positioning to identify service opportunities and refine technical offerings, informing multi-year product and capability roadmaps.</w:t>
      </w:r>
    </w:p>
    <w:p>
      <w:pPr>
        <w:pStyle w:val="ListBullet"/>
        <w:spacing w:before="0" w:after="40"/>
        <w:ind w:left="360"/>
      </w:pPr>
      <w:r>
        <w:rPr>
          <w:sz w:val="20"/>
        </w:rPr>
        <w:t>Operated with full accountability for customer outcomes, staff-equivalent workload management, and quality assurance — experience that directly parallels leading a self-funded higher education technology unit.</w:t>
      </w:r>
    </w:p>
    <w:p>
      <w:pPr>
        <w:spacing w:before="120" w:after="0"/>
      </w:pPr>
      <w:r>
        <w:rPr>
          <w:b/>
          <w:sz w:val="22"/>
        </w:rPr>
        <w:t>Principal End-to-End Architect | NBCUniversal | 2021 – 2025</w:t>
      </w:r>
    </w:p>
    <w:p>
      <w:pPr>
        <w:spacing w:before="0" w:after="40"/>
      </w:pPr>
      <w:r>
        <w:rPr>
          <w:b w:val="0"/>
          <w:i/>
          <w:sz w:val="18"/>
        </w:rPr>
        <w:t>Remote</w:t>
      </w:r>
    </w:p>
    <w:p>
      <w:pPr>
        <w:spacing w:before="0" w:after="40"/>
      </w:pPr>
      <w:r>
        <w:rPr>
          <w:b w:val="0"/>
          <w:i/>
          <w:sz w:val="20"/>
        </w:rPr>
        <w:t>During organizational restructuring in early 2025, I transitioned from NBCUniversal.</w:t>
      </w:r>
    </w:p>
    <w:p>
      <w:pPr>
        <w:pStyle w:val="ListBullet"/>
        <w:spacing w:before="0" w:after="40"/>
        <w:ind w:left="360"/>
      </w:pPr>
      <w:r>
        <w:rPr>
          <w:sz w:val="20"/>
        </w:rPr>
        <w:t>Architected the Key Plays feature — an AI/ML-powered near real-time sports highlights system — working across engineering, product, and editorial teams to deliver a multi-Emmy Award-winning capability at broadcast scale.</w:t>
      </w:r>
    </w:p>
    <w:p>
      <w:pPr>
        <w:pStyle w:val="ListBullet"/>
        <w:spacing w:before="0" w:after="40"/>
        <w:ind w:left="360"/>
      </w:pPr>
      <w:r>
        <w:rPr>
          <w:sz w:val="20"/>
        </w:rPr>
        <w:t>Designed the Olympic Daily Recap system generating over 7 million personalized video variants using generative AI with celebrity voice synthesis, coordinating cross-functional delivery across AI, media operations, and editorial stakeholders.</w:t>
      </w:r>
    </w:p>
    <w:p>
      <w:pPr>
        <w:pStyle w:val="ListBullet"/>
        <w:spacing w:before="0" w:after="40"/>
        <w:ind w:left="360"/>
      </w:pPr>
      <w:r>
        <w:rPr>
          <w:sz w:val="20"/>
        </w:rPr>
        <w:t>Built and deployed SSAI-integrated interactive overlay systems for live sports, achieving over 200% ad revenue growth by connecting technical architecture decisions directly to monetization strategy.</w:t>
      </w:r>
    </w:p>
    <w:p>
      <w:pPr>
        <w:pStyle w:val="ListBullet"/>
        <w:spacing w:before="0" w:after="40"/>
        <w:ind w:left="360"/>
      </w:pPr>
      <w:r>
        <w:rPr>
          <w:sz w:val="20"/>
        </w:rPr>
        <w:t>Operated as the end-to-end technical authority for major platform initiatives, presenting architectural proposals and project outcomes to senior leadership and securing executive alignment on strategic investments.</w:t>
      </w:r>
    </w:p>
    <w:p>
      <w:pPr>
        <w:pStyle w:val="ListBullet"/>
        <w:spacing w:before="0" w:after="40"/>
        <w:ind w:left="360"/>
      </w:pPr>
      <w:r>
        <w:rPr>
          <w:sz w:val="20"/>
        </w:rPr>
        <w:t>Coordinated delivery across distributed cross-functional teams spanning engineering, product, design, and business operations, establishing documentation standards, escalation protocols, and project management practices for complex multi-workstream programs.</w:t>
      </w:r>
    </w:p>
    <w:p>
      <w:pPr>
        <w:pStyle w:val="ListBullet"/>
        <w:spacing w:before="0" w:after="40"/>
        <w:ind w:left="360"/>
      </w:pPr>
      <w:r>
        <w:rPr>
          <w:sz w:val="20"/>
        </w:rPr>
        <w:t>Served as a technical translator between engineering staff and executive stakeholders, distilling platform complexity into clear business-impact framing for non-technical audiences at the VP and SVP level.</w:t>
      </w:r>
    </w:p>
    <w:p>
      <w:pPr>
        <w:spacing w:before="120" w:after="0"/>
      </w:pPr>
      <w:r>
        <w:rPr>
          <w:b/>
          <w:sz w:val="22"/>
        </w:rPr>
        <w:t>Innovation and Emerging Technology Lead | Leidos | 2019 – 2020</w:t>
      </w:r>
    </w:p>
    <w:p>
      <w:pPr>
        <w:spacing w:before="0" w:after="40"/>
      </w:pPr>
      <w:r>
        <w:rPr>
          <w:b w:val="0"/>
          <w:i/>
          <w:sz w:val="18"/>
        </w:rPr>
        <w:t>Washington, DC</w:t>
      </w:r>
    </w:p>
    <w:p>
      <w:pPr>
        <w:pStyle w:val="ListBullet"/>
        <w:spacing w:before="0" w:after="40"/>
        <w:ind w:left="360"/>
      </w:pPr>
      <w:r>
        <w:rPr>
          <w:sz w:val="20"/>
        </w:rPr>
        <w:t>Delivered emerging technology consultation to government and enterprise clients, translating complex technical capabilities into strategic recommendations aligned with mission requirements and budget constraints.</w:t>
      </w:r>
    </w:p>
    <w:p>
      <w:pPr>
        <w:pStyle w:val="ListBullet"/>
        <w:spacing w:before="0" w:after="40"/>
        <w:ind w:left="360"/>
      </w:pPr>
      <w:r>
        <w:rPr>
          <w:sz w:val="20"/>
        </w:rPr>
        <w:t>Engaged senior client stakeholders in pre- and post-sales environments to assess requirements, define solution scope, and identify risks before program initiation — reducing delivery friction on complex technology deployments.</w:t>
      </w:r>
    </w:p>
    <w:p>
      <w:pPr>
        <w:pStyle w:val="ListBullet"/>
        <w:spacing w:before="0" w:after="40"/>
        <w:ind w:left="360"/>
      </w:pPr>
      <w:r>
        <w:rPr>
          <w:sz w:val="20"/>
        </w:rPr>
        <w:t>Developed and presented technology briefings and capability demonstrations to government decision-makers, adapting technical depth and framing to match audience expertise and organizational priorities.</w:t>
      </w:r>
    </w:p>
    <w:p>
      <w:pPr>
        <w:pStyle w:val="ListBullet"/>
        <w:spacing w:before="0" w:after="40"/>
        <w:ind w:left="360"/>
      </w:pPr>
      <w:r>
        <w:rPr>
          <w:sz w:val="20"/>
        </w:rPr>
        <w:t>Evaluated technology vendor landscape across hardware, software, and services providers, producing comparative analyses that informed client procurement decisions and long-term IT strategy.</w:t>
      </w:r>
    </w:p>
    <w:p>
      <w:pPr>
        <w:pStyle w:val="ListBullet"/>
        <w:spacing w:before="0" w:after="40"/>
        <w:ind w:left="360"/>
      </w:pPr>
      <w:r>
        <w:rPr>
          <w:sz w:val="20"/>
        </w:rPr>
        <w:t>Coordinated cross-functional internal teams across sales, engineering, and program management to align customer requirements with deliverable solutions and contractual scope.</w:t>
      </w:r>
    </w:p>
    <w:p>
      <w:pPr>
        <w:pStyle w:val="ListBullet"/>
        <w:spacing w:before="0" w:after="40"/>
        <w:ind w:left="360"/>
      </w:pPr>
      <w:r>
        <w:rPr>
          <w:sz w:val="20"/>
        </w:rPr>
        <w:t>Established documentation standards and knowledge-sharing practices for emerging technology engagements, enabling internal teams to build repeatable consulting frameworks from individual project outcomes.</w:t>
      </w:r>
    </w:p>
    <w:p>
      <w:pPr>
        <w:spacing w:before="120" w:after="0"/>
      </w:pPr>
      <w:r>
        <w:rPr>
          <w:b/>
          <w:sz w:val="22"/>
        </w:rPr>
        <w:t>Sr. Solutions Architect | Ooyala | 2017 – 2018</w:t>
      </w:r>
    </w:p>
    <w:p>
      <w:pPr>
        <w:spacing w:before="0" w:after="40"/>
      </w:pPr>
      <w:r>
        <w:rPr>
          <w:b w:val="0"/>
          <w:i/>
          <w:sz w:val="18"/>
        </w:rPr>
        <w:t>Remote</w:t>
      </w:r>
    </w:p>
    <w:p>
      <w:pPr>
        <w:pStyle w:val="ListBullet"/>
        <w:spacing w:before="0" w:after="40"/>
        <w:ind w:left="360"/>
      </w:pPr>
      <w:r>
        <w:rPr>
          <w:sz w:val="20"/>
        </w:rPr>
        <w:t>Designed SaaS-based media lifecycle solutions for enterprise broadcast and digital media clients, mapping complex content management and distribution requirements to scalable platform architectures.</w:t>
      </w:r>
    </w:p>
    <w:p>
      <w:pPr>
        <w:pStyle w:val="ListBullet"/>
        <w:spacing w:before="0" w:after="40"/>
        <w:ind w:left="360"/>
      </w:pPr>
      <w:r>
        <w:rPr>
          <w:sz w:val="20"/>
        </w:rPr>
        <w:t>Engaged directly with client C-suite and technical leadership to define integration architectures, ensuring that proposed solutions aligned with both operational workflows and long-term business objectives.</w:t>
      </w:r>
    </w:p>
    <w:p>
      <w:pPr>
        <w:pStyle w:val="ListBullet"/>
        <w:spacing w:before="0" w:after="40"/>
        <w:ind w:left="360"/>
      </w:pPr>
      <w:r>
        <w:rPr>
          <w:sz w:val="20"/>
        </w:rPr>
        <w:t>Evaluated client infrastructure environments and produced detailed solution designs spanning content acquisition, processing, rights management, and multi-platform delivery — serving as the technical authority through the full sales cycle.</w:t>
      </w:r>
    </w:p>
    <w:p>
      <w:pPr>
        <w:pStyle w:val="ListBullet"/>
        <w:spacing w:before="0" w:after="40"/>
        <w:ind w:left="360"/>
      </w:pPr>
      <w:r>
        <w:rPr>
          <w:sz w:val="20"/>
        </w:rPr>
        <w:t>Translated customer requirements into structured product and integration briefs for internal engineering and product teams, maintaining clarity of scope and reducing rework during implementation.</w:t>
      </w:r>
    </w:p>
    <w:p>
      <w:pPr>
        <w:pStyle w:val="ListBullet"/>
        <w:spacing w:before="0" w:after="40"/>
        <w:ind w:left="360"/>
      </w:pPr>
      <w:r>
        <w:rPr>
          <w:sz w:val="20"/>
        </w:rPr>
        <w:t>Managed concurrent client engagements across multiple accounts, prioritizing stakeholder communication and delivery milestones to maintain relationship quality and solution accuracy under competing deadlines.</w:t>
      </w:r>
    </w:p>
    <w:p>
      <w:pPr>
        <w:pStyle w:val="ListBullet"/>
        <w:spacing w:before="0" w:after="40"/>
        <w:ind w:left="360"/>
      </w:pPr>
      <w:r>
        <w:rPr>
          <w:sz w:val="20"/>
        </w:rPr>
        <w:t>Contributed competitive positioning insights based on client-facing feedback, informing internal product strategy discussions with direct evidence from enterprise customer requirements.</w:t>
      </w:r>
    </w:p>
    <w:p>
      <w:pPr>
        <w:spacing w:before="120" w:after="0"/>
      </w:pPr>
      <w:r>
        <w:rPr>
          <w:b/>
          <w:sz w:val="22"/>
        </w:rPr>
        <w:t>Principal Engineer, Video-On-Demand | Time Warner Cable | 2012 – 2017</w:t>
      </w:r>
    </w:p>
    <w:p>
      <w:pPr>
        <w:spacing w:before="0" w:after="40"/>
      </w:pPr>
      <w:r>
        <w:rPr>
          <w:b w:val="0"/>
          <w:i/>
          <w:sz w:val="18"/>
        </w:rPr>
        <w:t>Remote</w:t>
      </w:r>
    </w:p>
    <w:p>
      <w:pPr>
        <w:pStyle w:val="ListBullet"/>
        <w:spacing w:before="0" w:after="40"/>
        <w:ind w:left="360"/>
      </w:pPr>
      <w:r>
        <w:rPr>
          <w:sz w:val="20"/>
        </w:rPr>
        <w:t>Served as principal architect of the TWCTV application, leading VOD and advertising subsystem design across a platform serving millions of subscribers — earning an Emmy Award for innovation in OTT platform delivery.</w:t>
      </w:r>
    </w:p>
    <w:p>
      <w:pPr>
        <w:pStyle w:val="ListBullet"/>
        <w:spacing w:before="0" w:after="40"/>
        <w:ind w:left="360"/>
      </w:pPr>
      <w:r>
        <w:rPr>
          <w:sz w:val="20"/>
        </w:rPr>
        <w:t>Recognized accelerating OTT adoption ahead of market inflection and built proof-of-concept prototypes that directly informed TWCTV application architecture, establishing the DRM and dynamic ad insertion foundation before enterprise requirements formalized.</w:t>
      </w:r>
    </w:p>
    <w:p>
      <w:pPr>
        <w:pStyle w:val="ListBullet"/>
        <w:spacing w:before="0" w:after="40"/>
        <w:ind w:left="360"/>
      </w:pPr>
      <w:r>
        <w:rPr>
          <w:sz w:val="20"/>
        </w:rPr>
        <w:t>Directed implementation of just-in-time encryption DRM solutions, architecting a security model that improved scalability while meeting content protection requirements across set-top box and emerging OTT delivery environments.</w:t>
      </w:r>
    </w:p>
    <w:p>
      <w:pPr>
        <w:pStyle w:val="ListBullet"/>
        <w:spacing w:before="0" w:after="40"/>
        <w:ind w:left="360"/>
      </w:pPr>
      <w:r>
        <w:rPr>
          <w:sz w:val="20"/>
        </w:rPr>
        <w:t>Designed and executed centralization of all VOD content acquisition and distribution, unifying multi-region workflows into a single headend architecture that reduced operational costs and improved platform scalability.</w:t>
      </w:r>
    </w:p>
    <w:p>
      <w:pPr>
        <w:pStyle w:val="ListBullet"/>
        <w:spacing w:before="0" w:after="40"/>
        <w:ind w:left="360"/>
      </w:pPr>
      <w:r>
        <w:rPr>
          <w:sz w:val="20"/>
        </w:rPr>
        <w:t>Operated as the organizational SME for VOD infrastructure — advising stakeholders from front-line engineers to C-suite executives on content acquisition, CDN-based distribution, and playback architecture to support complex business decisions.</w:t>
      </w:r>
    </w:p>
    <w:p>
      <w:pPr>
        <w:pStyle w:val="ListBullet"/>
        <w:spacing w:before="0" w:after="40"/>
        <w:ind w:left="360"/>
      </w:pPr>
      <w:r>
        <w:rPr>
          <w:sz w:val="20"/>
        </w:rPr>
        <w:t>Evaluated, negotiated, and coordinated multiple simultaneous hardware, software, and SaaS vendor relationships, managing integration complexity across providers to maintain platform stability and delivery commitments.</w:t>
      </w:r>
    </w:p>
    <w:p>
      <w:pPr>
        <w:spacing w:before="120" w:after="0"/>
      </w:pPr>
      <w:r>
        <w:rPr>
          <w:b/>
          <w:sz w:val="22"/>
        </w:rPr>
        <w:t>Manager, Digital Media Delivery | Time Warner Cable | 2006 – 2012</w:t>
      </w:r>
    </w:p>
    <w:p>
      <w:pPr>
        <w:spacing w:before="0" w:after="40"/>
      </w:pPr>
      <w:r>
        <w:rPr>
          <w:b w:val="0"/>
          <w:i/>
          <w:sz w:val="18"/>
        </w:rPr>
        <w:t>Sterling, VA</w:t>
      </w:r>
    </w:p>
    <w:p>
      <w:pPr>
        <w:pStyle w:val="ListBullet"/>
        <w:spacing w:before="0" w:after="40"/>
        <w:ind w:left="360"/>
      </w:pPr>
      <w:r>
        <w:rPr>
          <w:sz w:val="20"/>
        </w:rPr>
        <w:t>Architected a catch-and-encode workflow automation system that replaced manual VOD content processing, producing a 350%+ increase in ad revenue and establishing a scalable operational foundation for multi-region content delivery.</w:t>
      </w:r>
    </w:p>
    <w:p>
      <w:pPr>
        <w:pStyle w:val="ListBullet"/>
        <w:spacing w:before="0" w:after="40"/>
        <w:ind w:left="360"/>
      </w:pPr>
      <w:r>
        <w:rPr>
          <w:sz w:val="20"/>
        </w:rPr>
        <w:t>Led SaaS migration of legacy VMS and CMS platforms, selecting and negotiating vendor relationships, directing integration architecture, and managing transition execution while maintaining 24/7 operational continuity.</w:t>
      </w:r>
    </w:p>
    <w:p>
      <w:pPr>
        <w:pStyle w:val="ListBullet"/>
        <w:spacing w:before="0" w:after="40"/>
        <w:ind w:left="360"/>
      </w:pPr>
      <w:r>
        <w:rPr>
          <w:sz w:val="20"/>
        </w:rPr>
        <w:t>Directed website development for the TWC homepage, reducing editorial man-hours through workflow automation and establishing content management standards that improved cross-team operational efficiency.</w:t>
      </w:r>
    </w:p>
    <w:p>
      <w:pPr>
        <w:pStyle w:val="ListBullet"/>
        <w:spacing w:before="0" w:after="40"/>
        <w:ind w:left="360"/>
      </w:pPr>
      <w:r>
        <w:rPr>
          <w:sz w:val="20"/>
        </w:rPr>
        <w:t>Managed cross-functional teams executing content delivery modernization programs, applying project management discipline to scope definition, risk identification, deadline management, and stakeholder communication across engineering and business units.</w:t>
      </w:r>
    </w:p>
    <w:p>
      <w:pPr>
        <w:pStyle w:val="ListBullet"/>
        <w:spacing w:before="0" w:after="40"/>
        <w:ind w:left="360"/>
      </w:pPr>
      <w:r>
        <w:rPr>
          <w:sz w:val="20"/>
        </w:rPr>
        <w:t>Established multi-vendor integration architecture spanning hardware, software, and SaaS providers, coordinating simultaneous vendor relationships and aligning delivery commitments to organizational timelines and budget parameters.</w:t>
      </w:r>
    </w:p>
    <w:p>
      <w:pPr>
        <w:pStyle w:val="ListBullet"/>
        <w:spacing w:before="0" w:after="40"/>
        <w:ind w:left="360"/>
      </w:pPr>
      <w:r>
        <w:rPr>
          <w:sz w:val="20"/>
        </w:rPr>
        <w:t>Built and presented business cases for major platform investments to senior leadership, connecting technical architecture decisions to measurable operational and financial outcomes to secure executive alignment and resource allocation.</w:t>
      </w:r>
    </w:p>
    <w:p>
      <w:pPr>
        <w:spacing w:before="120" w:after="0"/>
      </w:pPr>
      <w:r>
        <w:rPr>
          <w:b/>
          <w:sz w:val="22"/>
        </w:rPr>
        <w:t>Sr. Live Events Producer | AOL | 2001 – 2006</w:t>
      </w:r>
    </w:p>
    <w:p>
      <w:pPr>
        <w:spacing w:before="0" w:after="40"/>
      </w:pPr>
      <w:r>
        <w:rPr>
          <w:b w:val="0"/>
          <w:i/>
          <w:sz w:val="18"/>
        </w:rPr>
        <w:t>Sterling, VA</w:t>
      </w:r>
    </w:p>
    <w:p>
      <w:pPr>
        <w:pStyle w:val="ListBullet"/>
        <w:spacing w:before="0" w:after="40"/>
        <w:ind w:left="360"/>
      </w:pPr>
      <w:r>
        <w:rPr>
          <w:sz w:val="20"/>
        </w:rPr>
        <w:t>Designed and operated the industry's first all-digital broadcast operations center purpose-built for streaming and OTT content delivery, establishing production standards and operational workflows that became foundational to AOL's live and on-demand media strategy.</w:t>
      </w:r>
    </w:p>
    <w:p>
      <w:pPr>
        <w:pStyle w:val="ListBullet"/>
        <w:spacing w:before="0" w:after="40"/>
        <w:ind w:left="360"/>
      </w:pPr>
      <w:r>
        <w:rPr>
          <w:sz w:val="20"/>
        </w:rPr>
        <w:t>Produced the Live 8 Concert global streaming event — at the time a world record in concurrent online streaming — coordinating technical delivery across 8 simultaneous international sites and managing a production operation of unprecedented digital scale.</w:t>
      </w:r>
    </w:p>
    <w:p>
      <w:pPr>
        <w:pStyle w:val="ListBullet"/>
        <w:spacing w:before="0" w:after="40"/>
        <w:ind w:left="360"/>
      </w:pPr>
      <w:r>
        <w:rPr>
          <w:sz w:val="20"/>
        </w:rPr>
        <w:t>Managed cross-functional production and engineering teams through complex live event delivery, establishing escalation protocols, technical documentation standards, and contingency planning practices for high-stakes broadcast operations.</w:t>
      </w:r>
    </w:p>
    <w:p>
      <w:pPr>
        <w:pStyle w:val="ListBullet"/>
        <w:spacing w:before="0" w:after="40"/>
        <w:ind w:left="360"/>
      </w:pPr>
      <w:r>
        <w:rPr>
          <w:sz w:val="20"/>
        </w:rPr>
        <w:t>Developed and delivered training and knowledge-sharing programs for production staff transitioning from traditional broadcast workflows to digital streaming operations, accelerating organizational capability development during a major technology shift.</w:t>
      </w:r>
    </w:p>
    <w:p>
      <w:pPr>
        <w:pStyle w:val="ListBullet"/>
        <w:spacing w:before="0" w:after="40"/>
        <w:ind w:left="360"/>
      </w:pPr>
      <w:r>
        <w:rPr>
          <w:sz w:val="20"/>
        </w:rPr>
        <w:t>Established vendor and partner relationships with emerging streaming technology providers, evaluating platforms and negotiating contracts that positioned AOL as an early-mover in digital content delivery.</w:t>
      </w:r>
    </w:p>
    <w:p>
      <w:pPr>
        <w:pStyle w:val="ListBullet"/>
        <w:spacing w:before="0" w:after="40"/>
        <w:ind w:left="360"/>
      </w:pPr>
      <w:r>
        <w:rPr>
          <w:sz w:val="20"/>
        </w:rPr>
        <w:t>Coordinated stakeholder communication across internal leadership, external production partners, and technology vendors for large-scale live events, translating technical constraints and operational requirements across diverse, non-technical audiences.</w:t>
      </w:r>
    </w:p>
    <w:p>
      <w:pPr>
        <w:spacing w:before="160" w:after="40"/>
        <w:pBdr>
          <w:bottom w:val="single" w:sz="6" w:space="1" w:color="888888"/>
        </w:pBdr>
      </w:pPr>
      <w:r>
        <w:rPr>
          <w:b/>
          <w:color w:val="1F3A5F"/>
          <w:sz w:val="24"/>
        </w:rPr>
        <w:t>PATENTS (7 Granted | 3 Pending)</w:t>
      </w:r>
    </w:p>
    <w:p>
      <w:pPr>
        <w:spacing w:before="0" w:after="40"/>
      </w:pPr>
      <w:r>
        <w:rPr>
          <w:b/>
          <w:i w:val="0"/>
          <w:sz w:val="20"/>
        </w:rPr>
        <w:t>Granted:</w:t>
      </w:r>
    </w:p>
    <w:p>
      <w:pPr>
        <w:pStyle w:val="ListBullet"/>
        <w:spacing w:before="0" w:after="40"/>
        <w:ind w:left="360"/>
      </w:pPr>
      <w:r>
        <w:rPr>
          <w:sz w:val="20"/>
        </w:rPr>
        <w:t>US 12382148 — Apparatus and Methods for Thumbnail Generation (TWC, 2025)</w:t>
      </w:r>
    </w:p>
    <w:p>
      <w:pPr>
        <w:pStyle w:val="ListBullet"/>
        <w:spacing w:before="0" w:after="40"/>
        <w:ind w:left="360"/>
      </w:pPr>
      <w:r>
        <w:rPr>
          <w:sz w:val="20"/>
        </w:rPr>
        <w:t>US 11310567 — Apparatus and Methods for Thumbnail Generation (TWC, 2022)</w:t>
      </w:r>
    </w:p>
    <w:p>
      <w:pPr>
        <w:pStyle w:val="ListBullet"/>
        <w:spacing w:before="0" w:after="40"/>
        <w:ind w:left="360"/>
      </w:pPr>
      <w:r>
        <w:rPr>
          <w:sz w:val="20"/>
        </w:rPr>
        <w:t>US 10667018 — Asynchronous Workflows (TWC, 2020)</w:t>
      </w:r>
    </w:p>
    <w:p>
      <w:pPr>
        <w:pStyle w:val="ListBullet"/>
        <w:spacing w:before="0" w:after="40"/>
        <w:ind w:left="360"/>
      </w:pPr>
      <w:r>
        <w:rPr>
          <w:sz w:val="20"/>
        </w:rPr>
        <w:t>US 10375452 — Apparatus and Methods for Thumbnail Generation (TWC, 2019)</w:t>
      </w:r>
    </w:p>
    <w:p>
      <w:pPr>
        <w:pStyle w:val="ListBullet"/>
        <w:spacing w:before="0" w:after="40"/>
        <w:ind w:left="360"/>
      </w:pPr>
      <w:r>
        <w:rPr>
          <w:sz w:val="20"/>
        </w:rPr>
        <w:t>US 8769151 — Adding Advertising Content to Media Content (Facebook, 2014)</w:t>
      </w:r>
    </w:p>
    <w:p>
      <w:pPr>
        <w:pStyle w:val="ListBullet"/>
        <w:spacing w:before="0" w:after="40"/>
        <w:ind w:left="360"/>
      </w:pPr>
      <w:r>
        <w:rPr>
          <w:sz w:val="20"/>
        </w:rPr>
        <w:t>US 8762575 — Inserting Advertising Content (Facebook, 2014)</w:t>
      </w:r>
    </w:p>
    <w:p>
      <w:pPr>
        <w:pStyle w:val="ListBullet"/>
        <w:spacing w:before="0" w:after="40"/>
        <w:ind w:left="360"/>
      </w:pPr>
      <w:r>
        <w:rPr>
          <w:sz w:val="20"/>
        </w:rPr>
        <w:t>US 8028092 — Inserting Advertising Content (AOL, 2011)</w:t>
      </w:r>
    </w:p>
    <w:p>
      <w:pPr>
        <w:spacing w:before="0" w:after="40"/>
      </w:pPr>
      <w:r>
        <w:rPr>
          <w:b/>
          <w:i w:val="0"/>
          <w:sz w:val="20"/>
        </w:rPr>
        <w:t>Pending:</w:t>
      </w:r>
    </w:p>
    <w:p>
      <w:pPr>
        <w:pStyle w:val="ListBullet"/>
        <w:spacing w:before="0" w:after="40"/>
        <w:ind w:left="360"/>
      </w:pPr>
      <w:r>
        <w:rPr>
          <w:sz w:val="20"/>
        </w:rPr>
        <w:t>US 20260057418 — Generative AI Creative Platform (NBCU, 2026)</w:t>
      </w:r>
    </w:p>
    <w:p>
      <w:pPr>
        <w:pStyle w:val="ListBullet"/>
        <w:spacing w:before="0" w:after="40"/>
        <w:ind w:left="360"/>
      </w:pPr>
      <w:r>
        <w:rPr>
          <w:sz w:val="20"/>
        </w:rPr>
        <w:t>US 20250203152 — Timed Metadata for Overlays (NBCU, 2025)</w:t>
      </w:r>
    </w:p>
    <w:p>
      <w:pPr>
        <w:pStyle w:val="ListBullet"/>
        <w:spacing w:before="0" w:after="40"/>
        <w:ind w:left="360"/>
      </w:pPr>
      <w:r>
        <w:rPr>
          <w:sz w:val="20"/>
        </w:rPr>
        <w:t>US 20240430496 — Dynamic In-Scene Secondary Content Insertion (NBCU, 2024)</w:t>
      </w:r>
    </w:p>
    <w:p>
      <w:pPr>
        <w:spacing w:before="160" w:after="40"/>
        <w:pBdr>
          <w:bottom w:val="single" w:sz="6" w:space="1" w:color="888888"/>
        </w:pBdr>
      </w:pPr>
      <w:r>
        <w:rPr>
          <w:b/>
          <w:color w:val="1F3A5F"/>
          <w:sz w:val="24"/>
        </w:rPr>
        <w:t>AWARDS</w:t>
      </w:r>
    </w:p>
    <w:p>
      <w:pPr>
        <w:pStyle w:val="ListBullet"/>
        <w:spacing w:before="0" w:after="40"/>
        <w:ind w:left="360"/>
      </w:pPr>
      <w:r>
        <w:rPr>
          <w:sz w:val="20"/>
        </w:rPr>
        <w:t>Outstanding Interactive Experience Emmy Award (2025) — NBCUniversal, Paris 2024 Olympics; individually named Software Developer</w:t>
      </w:r>
    </w:p>
    <w:p>
      <w:pPr>
        <w:pStyle w:val="ListBullet"/>
        <w:spacing w:before="0" w:after="40"/>
        <w:ind w:left="360"/>
      </w:pPr>
      <w:r>
        <w:rPr>
          <w:sz w:val="20"/>
        </w:rPr>
        <w:t>Technology &amp; Engineering Emmy Award (2023) — NBCUniversal, Key Plays AI/ML sports highlights platform</w:t>
      </w:r>
    </w:p>
    <w:p>
      <w:pPr>
        <w:pStyle w:val="ListBullet"/>
        <w:spacing w:before="0" w:after="40"/>
        <w:ind w:left="360"/>
      </w:pPr>
      <w:r>
        <w:rPr>
          <w:sz w:val="20"/>
        </w:rPr>
        <w:t>Emmy Award (2014) — Time Warner Cable, TWCTV Application (OTT innovation)</w:t>
      </w:r>
    </w:p>
    <w:p>
      <w:pPr>
        <w:pStyle w:val="ListBullet"/>
        <w:spacing w:before="0" w:after="40"/>
        <w:ind w:left="360"/>
      </w:pPr>
      <w:r>
        <w:rPr>
          <w:sz w:val="20"/>
        </w:rPr>
        <w:t>Emmy Award (2005) — AOL, Live 8 Concert (world-record concurrent live streaming)</w:t>
      </w:r>
    </w:p>
    <w:p>
      <w:pPr>
        <w:spacing w:before="160" w:after="40"/>
        <w:pBdr>
          <w:bottom w:val="single" w:sz="6" w:space="1" w:color="888888"/>
        </w:pBdr>
      </w:pPr>
      <w:r>
        <w:rPr>
          <w:b/>
          <w:color w:val="1F3A5F"/>
          <w:sz w:val="24"/>
        </w:rPr>
        <w:t>PROFESSIONAL AFFILIATIONS</w:t>
      </w:r>
    </w:p>
    <w:p>
      <w:pPr>
        <w:pStyle w:val="ListBullet"/>
        <w:spacing w:before="0" w:after="40"/>
        <w:ind w:left="360"/>
      </w:pPr>
      <w:r>
        <w:rPr>
          <w:sz w:val="20"/>
        </w:rPr>
        <w:t>Television Academy — Science and Technology Peer Group Member</w:t>
      </w:r>
    </w:p>
    <w:p>
      <w:pPr>
        <w:spacing w:before="160" w:after="40"/>
        <w:pBdr>
          <w:bottom w:val="single" w:sz="6" w:space="1" w:color="888888"/>
        </w:pBdr>
      </w:pPr>
      <w:r>
        <w:rPr>
          <w:b/>
          <w:color w:val="1F3A5F"/>
          <w:sz w:val="24"/>
        </w:rPr>
        <w:t>EDUCATION</w:t>
      </w:r>
    </w:p>
    <w:p>
      <w:pPr>
        <w:spacing w:before="0" w:after="40"/>
      </w:pPr>
      <w:r>
        <w:rPr>
          <w:b w:val="0"/>
          <w:i w:val="0"/>
          <w:sz w:val="20"/>
        </w:rPr>
        <w:t>University of Maryland, College Park | 1990 – 1994</w:t>
      </w:r>
    </w:p>
    <w:sectPr w:rsidR="00FC693F" w:rsidRPr="0006063C" w:rsidSect="00034616">
      <w:pgSz w:w="12240" w:h="15840"/>
      <w:pgMar w:top="720" w:right="1008" w:bottom="7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