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36"/>
        </w:rPr>
        <w:t>ERIC MANCHESTER</w:t>
      </w:r>
    </w:p>
    <w:p>
      <w:pPr>
        <w:spacing w:before="0" w:after="120"/>
        <w:jc w:val="center"/>
      </w:pPr>
      <w:r>
        <w:rPr>
          <w:b w:val="0"/>
          <w:i w:val="0"/>
          <w:sz w:val="20"/>
        </w:rPr>
        <w:t>Rockville, MD  |  (240) 481-6737  |  eric.manchester@gmail.com  |  linkedin.com/in/eric-manchester</w:t>
      </w:r>
    </w:p>
    <w:p>
      <w:pPr>
        <w:spacing w:before="160" w:after="40"/>
        <w:pBdr>
          <w:bottom w:val="single" w:sz="6" w:space="1" w:color="888888"/>
        </w:pBdr>
      </w:pPr>
      <w:r>
        <w:rPr>
          <w:b/>
          <w:color w:val="1F3A5F"/>
          <w:sz w:val="24"/>
        </w:rPr>
        <w:t>PROFESSIONAL SUMMARY</w:t>
      </w:r>
    </w:p>
    <w:p>
      <w:pPr>
        <w:spacing w:before="0" w:after="80"/>
      </w:pPr>
      <w:r>
        <w:rPr>
          <w:b w:val="0"/>
          <w:i w:val="0"/>
          <w:sz w:val="20"/>
        </w:rPr>
        <w:t>Enterprise architect and transformation leader with 20+ years delivering measurable business outcomes by translating complex technical systems into scalable, revenue-generating platforms. Designed and deployed generative AI solutions at broadcast scale — including a multi-stage GenAI pipeline generating 7M+ personalized content variants for Olympic viewers — demonstrating applied AI/ML and NLP capabilities tied directly to audience engagement and operational efficiency. Consistently operates at the intersection of executive strategy and technical execution, building business cases and roadmaps that align AI adoption to organizational objectives across media, government, and SaaS sectors. Brings pre-sales architecture, C-suite communication, and cross-functional alignment experience that accelerates enterprise AI adoption from concept to measurable impact.</w:t>
      </w:r>
    </w:p>
    <w:p>
      <w:pPr>
        <w:spacing w:before="160" w:after="40"/>
        <w:pBdr>
          <w:bottom w:val="single" w:sz="6" w:space="1" w:color="888888"/>
        </w:pBdr>
      </w:pPr>
      <w:r>
        <w:rPr>
          <w:b/>
          <w:color w:val="1F3A5F"/>
          <w:sz w:val="24"/>
        </w:rPr>
        <w:t>CORE TECHNICAL SKILLS</w:t>
      </w:r>
    </w:p>
    <w:p>
      <w:pPr>
        <w:spacing w:before="0" w:after="40"/>
      </w:pPr>
      <w:r>
        <w:rPr>
          <w:b/>
          <w:sz w:val="20"/>
        </w:rPr>
        <w:t xml:space="preserve">AI &amp; Emerging Technology: </w:t>
      </w:r>
      <w:r>
        <w:rPr>
          <w:sz w:val="20"/>
        </w:rPr>
        <w:t>Generative AI, LLM orchestration, AI voice synthesis, NLP, predictive analytics, multi-model AI pipelines, personalization engines</w:t>
      </w:r>
    </w:p>
    <w:p>
      <w:pPr>
        <w:spacing w:before="0" w:after="40"/>
      </w:pPr>
      <w:r>
        <w:rPr>
          <w:b/>
          <w:sz w:val="20"/>
        </w:rPr>
        <w:t xml:space="preserve">Enterprise Transformation: </w:t>
      </w:r>
      <w:r>
        <w:rPr>
          <w:sz w:val="20"/>
        </w:rPr>
        <w:t>AI transformation roadmaps, digital strategy, business case development, ROI modeling, operational efficiency design, cross-functional program leadership</w:t>
      </w:r>
    </w:p>
    <w:p>
      <w:pPr>
        <w:spacing w:before="0" w:after="40"/>
      </w:pPr>
      <w:r>
        <w:rPr>
          <w:b/>
          <w:sz w:val="20"/>
        </w:rPr>
        <w:t xml:space="preserve">Executive Engagement: </w:t>
      </w:r>
      <w:r>
        <w:rPr>
          <w:sz w:val="20"/>
        </w:rPr>
        <w:t>C-level stakeholder management, strategic roadmap communication, board-level reporting, pre-sales architecture, solution evangelism</w:t>
      </w:r>
    </w:p>
    <w:p>
      <w:pPr>
        <w:spacing w:before="0" w:after="40"/>
      </w:pPr>
      <w:r>
        <w:rPr>
          <w:b/>
          <w:sz w:val="20"/>
        </w:rPr>
        <w:t xml:space="preserve">Architecture &amp; Delivery: </w:t>
      </w:r>
      <w:r>
        <w:rPr>
          <w:sz w:val="20"/>
        </w:rPr>
        <w:t>Cloud-native platform design, end-to-end systems architecture, scalable delivery infrastructure, SaaS integration, ad tech monetization</w:t>
      </w:r>
    </w:p>
    <w:p>
      <w:pPr>
        <w:spacing w:before="160" w:after="40"/>
        <w:pBdr>
          <w:bottom w:val="single" w:sz="6" w:space="1" w:color="888888"/>
        </w:pBdr>
      </w:pPr>
      <w:r>
        <w:rPr>
          <w:b/>
          <w:color w:val="1F3A5F"/>
          <w:sz w:val="24"/>
        </w:rPr>
        <w:t>PROFESSIONAL EXPERIENCE</w:t>
      </w:r>
    </w:p>
    <w:p>
      <w:pPr>
        <w:spacing w:before="120" w:after="0"/>
      </w:pPr>
      <w:r>
        <w:rPr>
          <w:b/>
          <w:sz w:val="22"/>
        </w:rPr>
        <w:t>Solutions Architect | Harmonic | 2025 – Present</w:t>
      </w:r>
    </w:p>
    <w:p>
      <w:pPr>
        <w:spacing w:before="0" w:after="40"/>
      </w:pPr>
      <w:r>
        <w:rPr>
          <w:b w:val="0"/>
          <w:i/>
          <w:sz w:val="18"/>
        </w:rPr>
        <w:t>Remote</w:t>
      </w:r>
    </w:p>
    <w:p>
      <w:pPr>
        <w:pStyle w:val="ListBullet"/>
        <w:spacing w:before="0" w:after="40"/>
        <w:ind w:left="360"/>
      </w:pPr>
      <w:r>
        <w:rPr>
          <w:sz w:val="20"/>
        </w:rPr>
        <w:t>Designed end-to-end cloud-native solutions for tier-1 broadcast and streaming operators, translating complex technical requirements into ROI-backed architecture proposals aligned to each client's digital transformation roadmap.</w:t>
      </w:r>
    </w:p>
    <w:p>
      <w:pPr>
        <w:pStyle w:val="ListBullet"/>
        <w:spacing w:before="0" w:after="40"/>
        <w:ind w:left="360"/>
      </w:pPr>
      <w:r>
        <w:rPr>
          <w:sz w:val="20"/>
        </w:rPr>
        <w:t>Engaged C-suite and technical decision-makers at enterprise accounts to identify operational pain points, map them to platform capabilities, and build business cases that accelerated investment decisions.</w:t>
      </w:r>
    </w:p>
    <w:p>
      <w:pPr>
        <w:pStyle w:val="ListBullet"/>
        <w:spacing w:before="0" w:after="40"/>
        <w:ind w:left="360"/>
      </w:pPr>
      <w:r>
        <w:rPr>
          <w:sz w:val="20"/>
        </w:rPr>
        <w:t>Developed and delivered solution demonstrations and strategic presentations to executive leadership teams, communicating platform value in terms of operational efficiency, revenue potential, and competitive differentiation.</w:t>
      </w:r>
    </w:p>
    <w:p>
      <w:pPr>
        <w:pStyle w:val="ListBullet"/>
        <w:spacing w:before="0" w:after="40"/>
        <w:ind w:left="360"/>
      </w:pPr>
      <w:r>
        <w:rPr>
          <w:sz w:val="20"/>
        </w:rPr>
        <w:t>Architected multi-platform delivery solutions spanning cloud transcoding, ad tech integration, and streaming delivery — enabling clients to consolidate infrastructure and reduce operational overhead.</w:t>
      </w:r>
    </w:p>
    <w:p>
      <w:pPr>
        <w:pStyle w:val="ListBullet"/>
        <w:spacing w:before="0" w:after="40"/>
        <w:ind w:left="360"/>
      </w:pPr>
      <w:r>
        <w:rPr>
          <w:sz w:val="20"/>
        </w:rPr>
        <w:t>Built reusable value realization frameworks and ROI models that quantified business impact of cloud broadcast transformation, providing a repeatable playbook for enterprise account engagements.</w:t>
      </w:r>
    </w:p>
    <w:p>
      <w:pPr>
        <w:pStyle w:val="ListBullet"/>
        <w:spacing w:before="0" w:after="40"/>
        <w:ind w:left="360"/>
      </w:pPr>
      <w:r>
        <w:rPr>
          <w:sz w:val="20"/>
        </w:rPr>
        <w:t>Maintained working knowledge of emerging AI capabilities in broadcast workflows, advising clients on AI adoption opportunities including automated content processing and intelligent ad insertion.</w:t>
      </w:r>
    </w:p>
    <w:p>
      <w:pPr>
        <w:spacing w:before="120" w:after="0"/>
      </w:pPr>
      <w:r>
        <w:rPr>
          <w:b/>
          <w:sz w:val="22"/>
        </w:rPr>
        <w:t>Founder and Principal R&amp;D Architect | RE Kreations LLC | 2017 – Present</w:t>
      </w:r>
    </w:p>
    <w:p>
      <w:pPr>
        <w:spacing w:before="0" w:after="40"/>
      </w:pPr>
      <w:r>
        <w:rPr>
          <w:b w:val="0"/>
          <w:i/>
          <w:sz w:val="18"/>
        </w:rPr>
        <w:t>Rockville, MD</w:t>
      </w:r>
    </w:p>
    <w:p>
      <w:pPr>
        <w:pStyle w:val="ListBullet"/>
        <w:spacing w:before="0" w:after="40"/>
        <w:ind w:left="360"/>
      </w:pPr>
      <w:r>
        <w:rPr>
          <w:sz w:val="20"/>
        </w:rPr>
        <w:t>Architected and deployed a multi-model LLM orchestration pipeline that routes natural language queries across specialized AI models, applying NLP techniques to deliver accurate, context-aware responses at production scale.</w:t>
      </w:r>
    </w:p>
    <w:p>
      <w:pPr>
        <w:pStyle w:val="ListBullet"/>
        <w:spacing w:before="0" w:after="40"/>
        <w:ind w:left="360"/>
      </w:pPr>
      <w:r>
        <w:rPr>
          <w:sz w:val="20"/>
        </w:rPr>
        <w:t>Designed a local-first AI system architecture that prioritizes data privacy and operational resilience, building the full stack independently from model integration through user-facing delivery — demonstrating end-to-end AI product ownership.</w:t>
      </w:r>
    </w:p>
    <w:p>
      <w:pPr>
        <w:pStyle w:val="ListBullet"/>
        <w:spacing w:before="0" w:after="40"/>
        <w:ind w:left="360"/>
      </w:pPr>
      <w:r>
        <w:rPr>
          <w:sz w:val="20"/>
        </w:rPr>
        <w:t>Built and iterated MVP cycles using structured user research and real customer feedback, applying analytical thinking to identify highest-value AI use cases and prioritize development accordingly.</w:t>
      </w:r>
    </w:p>
    <w:p>
      <w:pPr>
        <w:pStyle w:val="ListBullet"/>
        <w:spacing w:before="0" w:after="40"/>
        <w:ind w:left="360"/>
      </w:pPr>
      <w:r>
        <w:rPr>
          <w:sz w:val="20"/>
        </w:rPr>
        <w:t>Developed prompt engineering frameworks and model evaluation criteria to ensure output quality across generative AI tasks, establishing repeatable quality standards for AI-generated content.</w:t>
      </w:r>
    </w:p>
    <w:p>
      <w:pPr>
        <w:pStyle w:val="ListBullet"/>
        <w:spacing w:before="0" w:after="40"/>
        <w:ind w:left="360"/>
      </w:pPr>
      <w:r>
        <w:rPr>
          <w:sz w:val="20"/>
        </w:rPr>
        <w:t>Delivered applied predictive analytics features that surface actionable insights from unstructured data, demonstrating practical AI/ML implementation tied to measurable user outcomes.</w:t>
      </w:r>
    </w:p>
    <w:p>
      <w:pPr>
        <w:pStyle w:val="ListBullet"/>
        <w:spacing w:before="0" w:after="40"/>
        <w:ind w:left="360"/>
      </w:pPr>
      <w:r>
        <w:rPr>
          <w:sz w:val="20"/>
        </w:rPr>
        <w:t>Operated with full venture-style autonomy — defining product strategy, architecting systems, managing vendor integrations, and communicating roadmap to stakeholders — validating AI product-market fit through real revenue and real customers.</w:t>
      </w:r>
    </w:p>
    <w:p>
      <w:pPr>
        <w:spacing w:before="120" w:after="0"/>
      </w:pPr>
      <w:r>
        <w:rPr>
          <w:b/>
          <w:sz w:val="22"/>
        </w:rPr>
        <w:t>Principal End-to-End Architect | NBCUniversal | 2021 – 2025</w:t>
      </w:r>
    </w:p>
    <w:p>
      <w:pPr>
        <w:spacing w:before="0" w:after="40"/>
      </w:pPr>
      <w:r>
        <w:rPr>
          <w:b w:val="0"/>
          <w:i/>
          <w:sz w:val="18"/>
        </w:rPr>
        <w:t>Remote</w:t>
      </w:r>
    </w:p>
    <w:p>
      <w:pPr>
        <w:spacing w:before="0" w:after="40"/>
      </w:pPr>
      <w:r>
        <w:rPr>
          <w:b w:val="0"/>
          <w:i/>
          <w:sz w:val="20"/>
        </w:rPr>
        <w:t>During organizational restructuring in early 2025, I transitioned from NBCUniversal.</w:t>
      </w:r>
    </w:p>
    <w:p>
      <w:pPr>
        <w:pStyle w:val="ListBullet"/>
        <w:spacing w:before="0" w:after="40"/>
        <w:ind w:left="360"/>
      </w:pPr>
      <w:r>
        <w:rPr>
          <w:sz w:val="20"/>
        </w:rPr>
        <w:t>Architected the Olympic Daily Recap — a multi-stage generative AI pipeline that produced 7M+ personalized video recap variants featuring AI-synthesized narration in Al Michaels' voice — setting a new operational benchmark for AI-driven content delivery at broadcast scale.</w:t>
      </w:r>
    </w:p>
    <w:p>
      <w:pPr>
        <w:pStyle w:val="ListBullet"/>
        <w:spacing w:before="0" w:after="40"/>
        <w:ind w:left="360"/>
      </w:pPr>
      <w:r>
        <w:rPr>
          <w:sz w:val="20"/>
        </w:rPr>
        <w:t>Designed the Key Plays AI/ML system that used near-real-time machine learning to identify and surface sports highlights, delivering an Emmy Award-winning interactive experience and demonstrating measurable audience engagement growth.</w:t>
      </w:r>
    </w:p>
    <w:p>
      <w:pPr>
        <w:pStyle w:val="ListBullet"/>
        <w:spacing w:before="0" w:after="40"/>
        <w:ind w:left="360"/>
      </w:pPr>
      <w:r>
        <w:rPr>
          <w:sz w:val="20"/>
        </w:rPr>
        <w:t>Built the business case and technical roadmap for AI adoption within NBCU's streaming product portfolio, translating generative AI and NLP capabilities into viewer personalization strategies that scaled to millions of concurrent users.</w:t>
      </w:r>
    </w:p>
    <w:p>
      <w:pPr>
        <w:pStyle w:val="ListBullet"/>
        <w:spacing w:before="0" w:after="40"/>
        <w:ind w:left="360"/>
      </w:pPr>
      <w:r>
        <w:rPr>
          <w:sz w:val="20"/>
        </w:rPr>
        <w:t>Defined end-to-end system architectures integrating AI content generation, voice synthesis, personalization engines, and streaming delivery infrastructure — aligning technical design decisions to executive-level digital strategy objectives.</w:t>
      </w:r>
    </w:p>
    <w:p>
      <w:pPr>
        <w:pStyle w:val="ListBullet"/>
        <w:spacing w:before="0" w:after="40"/>
        <w:ind w:left="360"/>
      </w:pPr>
      <w:r>
        <w:rPr>
          <w:sz w:val="20"/>
        </w:rPr>
        <w:t>Presented AI innovation strategy and progress to executive leadership, communicating complex multi-model pipeline designs in terms of business impact, viewer engagement metrics, and competitive positioning.</w:t>
      </w:r>
    </w:p>
    <w:p>
      <w:pPr>
        <w:pStyle w:val="ListBullet"/>
        <w:spacing w:before="0" w:after="40"/>
        <w:ind w:left="360"/>
      </w:pPr>
      <w:r>
        <w:rPr>
          <w:sz w:val="20"/>
        </w:rPr>
        <w:t>Identified and prioritized AI use cases across NBCU's sports and streaming operations — from automated highlight generation to personalized recap delivery — translating pain points from business unit stakeholders into shipped, measurable products.</w:t>
      </w:r>
    </w:p>
    <w:p>
      <w:pPr>
        <w:spacing w:before="120" w:after="0"/>
      </w:pPr>
      <w:r>
        <w:rPr>
          <w:b/>
          <w:sz w:val="22"/>
        </w:rPr>
        <w:t>Innovation and Emerging Technology Lead | Leidos | 2019 – 2020</w:t>
      </w:r>
    </w:p>
    <w:p>
      <w:pPr>
        <w:spacing w:before="0" w:after="40"/>
      </w:pPr>
      <w:r>
        <w:rPr>
          <w:b w:val="0"/>
          <w:i/>
          <w:sz w:val="18"/>
        </w:rPr>
        <w:t>Washington, DC</w:t>
      </w:r>
    </w:p>
    <w:p>
      <w:pPr>
        <w:pStyle w:val="ListBullet"/>
        <w:spacing w:before="0" w:after="40"/>
        <w:ind w:left="360"/>
      </w:pPr>
      <w:r>
        <w:rPr>
          <w:sz w:val="20"/>
        </w:rPr>
        <w:t>Served as emerging technology advisor to government and enterprise clients, building strategic roadmaps that identified high-value AI and automation opportunities within complex operational environments.</w:t>
      </w:r>
    </w:p>
    <w:p>
      <w:pPr>
        <w:pStyle w:val="ListBullet"/>
        <w:spacing w:before="0" w:after="40"/>
        <w:ind w:left="360"/>
      </w:pPr>
      <w:r>
        <w:rPr>
          <w:sz w:val="20"/>
        </w:rPr>
        <w:t>Translated cutting-edge technology capabilities into actionable business cases for government decision-makers, framing technical solutions in terms of mission impact, operational efficiency, and investment justification.</w:t>
      </w:r>
    </w:p>
    <w:p>
      <w:pPr>
        <w:pStyle w:val="ListBullet"/>
        <w:spacing w:before="0" w:after="40"/>
        <w:ind w:left="360"/>
      </w:pPr>
      <w:r>
        <w:rPr>
          <w:sz w:val="20"/>
        </w:rPr>
        <w:t>Engaged executive and program-level stakeholders to assess transformation readiness, map technology gaps, and define prioritized AI adoption strategies aligned to organizational objectives.</w:t>
      </w:r>
    </w:p>
    <w:p>
      <w:pPr>
        <w:pStyle w:val="ListBullet"/>
        <w:spacing w:before="0" w:after="40"/>
        <w:ind w:left="360"/>
      </w:pPr>
      <w:r>
        <w:rPr>
          <w:sz w:val="20"/>
        </w:rPr>
        <w:t>Developed pre-sales and post-sales solution architectures for emerging technology engagements, ensuring proposed solutions delivered measurable outcomes against defined success criteria.</w:t>
      </w:r>
    </w:p>
    <w:p>
      <w:pPr>
        <w:pStyle w:val="ListBullet"/>
        <w:spacing w:before="0" w:after="40"/>
        <w:ind w:left="360"/>
      </w:pPr>
      <w:r>
        <w:rPr>
          <w:sz w:val="20"/>
        </w:rPr>
        <w:t>Delivered thought leadership presentations on AI, machine learning, and digital transformation to government and enterprise audiences, making complex concepts accessible to non-technical decision-makers.</w:t>
      </w:r>
    </w:p>
    <w:p>
      <w:pPr>
        <w:pStyle w:val="ListBullet"/>
        <w:spacing w:before="0" w:after="40"/>
        <w:ind w:left="360"/>
      </w:pPr>
      <w:r>
        <w:rPr>
          <w:sz w:val="20"/>
        </w:rPr>
        <w:t>Operated as an autonomous strategic consultant across multiple concurrent engagements, managing stakeholder relationships and technical deliverables without day-to-day management oversight.</w:t>
      </w:r>
    </w:p>
    <w:p>
      <w:pPr>
        <w:spacing w:before="120" w:after="0"/>
      </w:pPr>
      <w:r>
        <w:rPr>
          <w:b/>
          <w:sz w:val="22"/>
        </w:rPr>
        <w:t>Sr. Solutions Architect | Ooyala | 2017 – 2018</w:t>
      </w:r>
    </w:p>
    <w:p>
      <w:pPr>
        <w:spacing w:before="0" w:after="40"/>
      </w:pPr>
      <w:r>
        <w:rPr>
          <w:b w:val="0"/>
          <w:i/>
          <w:sz w:val="18"/>
        </w:rPr>
        <w:t>Remote</w:t>
      </w:r>
    </w:p>
    <w:p>
      <w:pPr>
        <w:pStyle w:val="ListBullet"/>
        <w:spacing w:before="0" w:after="40"/>
        <w:ind w:left="360"/>
      </w:pPr>
      <w:r>
        <w:rPr>
          <w:sz w:val="20"/>
        </w:rPr>
        <w:t>Designed SaaS-based media lifecycle solutions for enterprise broadcast and OTT clients, translating complex multi-platform workflow requirements into scalable architecture proposals with clear ROI framing.</w:t>
      </w:r>
    </w:p>
    <w:p>
      <w:pPr>
        <w:pStyle w:val="ListBullet"/>
        <w:spacing w:before="0" w:after="40"/>
        <w:ind w:left="360"/>
      </w:pPr>
      <w:r>
        <w:rPr>
          <w:sz w:val="20"/>
        </w:rPr>
        <w:t>Engaged C-suite and technical stakeholders at media enterprises to identify operational inefficiencies, map them to platform capabilities, and build business cases that drove SaaS adoption decisions.</w:t>
      </w:r>
    </w:p>
    <w:p>
      <w:pPr>
        <w:pStyle w:val="ListBullet"/>
        <w:spacing w:before="0" w:after="40"/>
        <w:ind w:left="360"/>
      </w:pPr>
      <w:r>
        <w:rPr>
          <w:sz w:val="20"/>
        </w:rPr>
        <w:t>Architected integration solutions spanning content management, transcoding, analytics, and delivery — enabling clients to consolidate fragmented media workflows onto a unified cloud platform.</w:t>
      </w:r>
    </w:p>
    <w:p>
      <w:pPr>
        <w:pStyle w:val="ListBullet"/>
        <w:spacing w:before="0" w:after="40"/>
        <w:ind w:left="360"/>
      </w:pPr>
      <w:r>
        <w:rPr>
          <w:sz w:val="20"/>
        </w:rPr>
        <w:t>Built and delivered executive-level presentations communicating platform value in terms of cost reduction, operational efficiency, and revenue growth potential, accelerating client investment decisions.</w:t>
      </w:r>
    </w:p>
    <w:p>
      <w:pPr>
        <w:pStyle w:val="ListBullet"/>
        <w:spacing w:before="0" w:after="40"/>
        <w:ind w:left="360"/>
      </w:pPr>
      <w:r>
        <w:rPr>
          <w:sz w:val="20"/>
        </w:rPr>
        <w:t>Applied analytical and strategic thinking to translate media industry trends — including OTT growth and data-driven personalization — into prioritized client use cases and solution roadmaps.</w:t>
      </w:r>
    </w:p>
    <w:p>
      <w:pPr>
        <w:pStyle w:val="ListBullet"/>
        <w:spacing w:before="0" w:after="40"/>
        <w:ind w:left="360"/>
      </w:pPr>
      <w:r>
        <w:rPr>
          <w:sz w:val="20"/>
        </w:rPr>
        <w:t>Maintained working knowledge of predictive analytics and data-driven content strategies, advising enterprise clients on how platform analytics capabilities could inform content investment and audience development decisions.</w:t>
      </w:r>
    </w:p>
    <w:p>
      <w:pPr>
        <w:spacing w:before="120" w:after="0"/>
      </w:pPr>
      <w:r>
        <w:rPr>
          <w:b/>
          <w:sz w:val="22"/>
        </w:rPr>
        <w:t>Principal Engineer, Video-On-Demand | Time Warner Cable | 2012 – 2017</w:t>
      </w:r>
    </w:p>
    <w:p>
      <w:pPr>
        <w:spacing w:before="0" w:after="40"/>
      </w:pPr>
      <w:r>
        <w:rPr>
          <w:b w:val="0"/>
          <w:i/>
          <w:sz w:val="18"/>
        </w:rPr>
        <w:t>Remote</w:t>
      </w:r>
    </w:p>
    <w:p>
      <w:pPr>
        <w:pStyle w:val="ListBullet"/>
        <w:spacing w:before="0" w:after="40"/>
        <w:ind w:left="360"/>
      </w:pPr>
      <w:r>
        <w:rPr>
          <w:sz w:val="20"/>
        </w:rPr>
        <w:t>Architected a centralized VOD platform serving millions of subscribers, designing systems that unified content ingestion, DRM encryption, and multi-platform delivery into a single scalable infrastructure — reducing operational complexity and improving delivery reliability.</w:t>
      </w:r>
    </w:p>
    <w:p>
      <w:pPr>
        <w:pStyle w:val="ListBullet"/>
        <w:spacing w:before="0" w:after="40"/>
        <w:ind w:left="360"/>
      </w:pPr>
      <w:r>
        <w:rPr>
          <w:sz w:val="20"/>
        </w:rPr>
        <w:t>Led the technical transition from set-top box-only delivery to multi-platform OTT distribution, building the architecture that enabled TWCTV to scale digital video access across web, mobile, and connected devices.</w:t>
      </w:r>
    </w:p>
    <w:p>
      <w:pPr>
        <w:pStyle w:val="ListBullet"/>
        <w:spacing w:before="0" w:after="40"/>
        <w:ind w:left="360"/>
      </w:pPr>
      <w:r>
        <w:rPr>
          <w:sz w:val="20"/>
        </w:rPr>
        <w:t>Designed and implemented dynamic ad insertion (DAI) systems for VOD, enabling data-driven ad targeting at scale and delivering measurable revenue growth through improved ad monetization architecture.</w:t>
      </w:r>
    </w:p>
    <w:p>
      <w:pPr>
        <w:pStyle w:val="ListBullet"/>
        <w:spacing w:before="0" w:after="40"/>
        <w:ind w:left="360"/>
      </w:pPr>
      <w:r>
        <w:rPr>
          <w:sz w:val="20"/>
        </w:rPr>
        <w:t>Built business cases for platform modernization investments, translating complex infrastructure requirements into financial models that justified capital allocation at the executive and board level.</w:t>
      </w:r>
    </w:p>
    <w:p>
      <w:pPr>
        <w:pStyle w:val="ListBullet"/>
        <w:spacing w:before="0" w:after="40"/>
        <w:ind w:left="360"/>
      </w:pPr>
      <w:r>
        <w:rPr>
          <w:sz w:val="20"/>
        </w:rPr>
        <w:t>Defined DRM and content security architecture for large-scale VOD delivery, establishing encryption standards and access control systems that protected premium content across all distribution platforms.</w:t>
      </w:r>
    </w:p>
    <w:p>
      <w:pPr>
        <w:pStyle w:val="ListBullet"/>
        <w:spacing w:before="0" w:after="40"/>
        <w:ind w:left="360"/>
      </w:pPr>
      <w:r>
        <w:rPr>
          <w:sz w:val="20"/>
        </w:rPr>
        <w:t>Collaborated with cross-functional teams spanning product, engineering, and business operations to align platform roadmap decisions to subscriber growth objectives and digital revenue targets.</w:t>
      </w:r>
    </w:p>
    <w:p>
      <w:pPr>
        <w:spacing w:before="120" w:after="0"/>
      </w:pPr>
      <w:r>
        <w:rPr>
          <w:b/>
          <w:sz w:val="22"/>
        </w:rPr>
        <w:t>Manager, Digital Media Delivery | Time Warner Cable | 2006 – 2012</w:t>
      </w:r>
    </w:p>
    <w:p>
      <w:pPr>
        <w:spacing w:before="0" w:after="40"/>
      </w:pPr>
      <w:r>
        <w:rPr>
          <w:b w:val="0"/>
          <w:i/>
          <w:sz w:val="18"/>
        </w:rPr>
        <w:t>Sterling, VA</w:t>
      </w:r>
    </w:p>
    <w:p>
      <w:pPr>
        <w:pStyle w:val="ListBullet"/>
        <w:spacing w:before="0" w:after="40"/>
        <w:ind w:left="360"/>
      </w:pPr>
      <w:r>
        <w:rPr>
          <w:sz w:val="20"/>
        </w:rPr>
        <w:t>Recognized accelerating OTT adoption ahead of mainstream market shift; built early prototypes that informed the TWCTV Application architecture, shaping its design for DRM, dynamic ad insertion, and multi-platform delivery.</w:t>
      </w:r>
    </w:p>
    <w:p>
      <w:pPr>
        <w:pStyle w:val="ListBullet"/>
        <w:spacing w:before="0" w:after="40"/>
        <w:ind w:left="360"/>
      </w:pPr>
      <w:r>
        <w:rPr>
          <w:sz w:val="20"/>
        </w:rPr>
        <w:t>Designed digital media delivery infrastructure that grew ad revenue by over 350%, architecting the technical systems that transformed streaming from a cost center into a primary revenue channel.</w:t>
      </w:r>
    </w:p>
    <w:p>
      <w:pPr>
        <w:pStyle w:val="ListBullet"/>
        <w:spacing w:before="0" w:after="40"/>
        <w:ind w:left="360"/>
      </w:pPr>
      <w:r>
        <w:rPr>
          <w:sz w:val="20"/>
        </w:rPr>
        <w:t>Led the SaaS transition for digital media delivery operations, building the business case and architecture that moved internal workflows to scalable, cloud-accessible platforms — improving operational efficiency across distributed teams.</w:t>
      </w:r>
    </w:p>
    <w:p>
      <w:pPr>
        <w:pStyle w:val="ListBullet"/>
        <w:spacing w:before="0" w:after="40"/>
        <w:ind w:left="360"/>
      </w:pPr>
      <w:r>
        <w:rPr>
          <w:sz w:val="20"/>
        </w:rPr>
        <w:t>Developed and communicated digital transformation roadmaps to executive leadership, translating emerging technology trends into prioritized investment strategies with measurable business outcomes.</w:t>
      </w:r>
    </w:p>
    <w:p>
      <w:pPr>
        <w:pStyle w:val="ListBullet"/>
        <w:spacing w:before="0" w:after="40"/>
        <w:ind w:left="360"/>
      </w:pPr>
      <w:r>
        <w:rPr>
          <w:sz w:val="20"/>
        </w:rPr>
        <w:t>Architected multi-CDN delivery systems capable of handling large-scale concurrent streaming events, establishing reliability and scalability standards that supported enterprise-grade audience demand.</w:t>
      </w:r>
    </w:p>
    <w:p>
      <w:pPr>
        <w:pStyle w:val="ListBullet"/>
        <w:spacing w:before="0" w:after="40"/>
        <w:ind w:left="360"/>
      </w:pPr>
      <w:r>
        <w:rPr>
          <w:sz w:val="20"/>
        </w:rPr>
        <w:t>Operated as a cross-functional bridge between engineering teams and business unit leaders, translating technical capabilities into revenue-generating product features aligned to subscriber growth strategy.</w:t>
      </w:r>
    </w:p>
    <w:p>
      <w:pPr>
        <w:spacing w:before="120" w:after="0"/>
      </w:pPr>
      <w:r>
        <w:rPr>
          <w:b/>
          <w:sz w:val="22"/>
        </w:rPr>
        <w:t>Sr. Live Events Producer | AOL | 2001 – 2006</w:t>
      </w:r>
    </w:p>
    <w:p>
      <w:pPr>
        <w:spacing w:before="0" w:after="40"/>
      </w:pPr>
      <w:r>
        <w:rPr>
          <w:b w:val="0"/>
          <w:i/>
          <w:sz w:val="18"/>
        </w:rPr>
        <w:t>Sterling, VA</w:t>
      </w:r>
    </w:p>
    <w:p>
      <w:pPr>
        <w:pStyle w:val="ListBullet"/>
        <w:spacing w:before="0" w:after="40"/>
        <w:ind w:left="360"/>
      </w:pPr>
      <w:r>
        <w:rPr>
          <w:sz w:val="20"/>
        </w:rPr>
        <w:t>Designed and built the industry's first all-digital broadcast operations center for streaming and OTT — establishing architecture patterns for large-scale live event delivery before the category had defined standards.</w:t>
      </w:r>
    </w:p>
    <w:p>
      <w:pPr>
        <w:pStyle w:val="ListBullet"/>
        <w:spacing w:before="0" w:after="40"/>
        <w:ind w:left="360"/>
      </w:pPr>
      <w:r>
        <w:rPr>
          <w:sz w:val="20"/>
        </w:rPr>
        <w:t>Architected the streaming infrastructure for the Live 8 Concert, achieving a world record for concurrent streaming across 8 simultaneous global sites — demonstrating that internet-scale live broadcast delivery was operationally feasible.</w:t>
      </w:r>
    </w:p>
    <w:p>
      <w:pPr>
        <w:pStyle w:val="ListBullet"/>
        <w:spacing w:before="0" w:after="40"/>
        <w:ind w:left="360"/>
      </w:pPr>
      <w:r>
        <w:rPr>
          <w:sz w:val="20"/>
        </w:rPr>
        <w:t>Built end-to-end live event production and delivery systems from content intake through global distribution, independently owning every component of the technical stack and establishing repeatable operational frameworks.</w:t>
      </w:r>
    </w:p>
    <w:p>
      <w:pPr>
        <w:pStyle w:val="ListBullet"/>
        <w:spacing w:before="0" w:after="40"/>
        <w:ind w:left="360"/>
      </w:pPr>
      <w:r>
        <w:rPr>
          <w:sz w:val="20"/>
        </w:rPr>
        <w:t>Identified and operationalized AI-adjacent automation opportunities in live production workflows — applying early NLP and metadata-driven systems to improve content indexing and searchability at scale.</w:t>
      </w:r>
    </w:p>
    <w:p>
      <w:pPr>
        <w:pStyle w:val="ListBullet"/>
        <w:spacing w:before="0" w:after="40"/>
        <w:ind w:left="360"/>
      </w:pPr>
      <w:r>
        <w:rPr>
          <w:sz w:val="20"/>
        </w:rPr>
        <w:t>Communicated technical strategy and infrastructure requirements to executive leadership, building investment cases for streaming infrastructure at a time when the business model for digital video delivery was still being defined.</w:t>
      </w:r>
    </w:p>
    <w:p>
      <w:pPr>
        <w:pStyle w:val="ListBullet"/>
        <w:spacing w:before="0" w:after="40"/>
        <w:ind w:left="360"/>
      </w:pPr>
      <w:r>
        <w:rPr>
          <w:sz w:val="20"/>
        </w:rPr>
        <w:t>Delivered Emmy Award-recognized live streaming productions that set industry benchmarks for quality, scale, and reliability — translating ambitious technical visions into production-ready systems under live event conditions.</w:t>
      </w:r>
    </w:p>
    <w:p>
      <w:pPr>
        <w:spacing w:before="160" w:after="40"/>
        <w:pBdr>
          <w:bottom w:val="single" w:sz="6" w:space="1" w:color="888888"/>
        </w:pBdr>
      </w:pPr>
      <w:r>
        <w:rPr>
          <w:b/>
          <w:color w:val="1F3A5F"/>
          <w:sz w:val="24"/>
        </w:rPr>
        <w:t>PATENTS (7 Granted | 3 Pending)</w:t>
      </w:r>
    </w:p>
    <w:p>
      <w:pPr>
        <w:spacing w:before="0" w:after="40"/>
      </w:pPr>
      <w:r>
        <w:rPr>
          <w:b/>
          <w:i w:val="0"/>
          <w:sz w:val="20"/>
        </w:rPr>
        <w:t>Granted:</w:t>
      </w:r>
    </w:p>
    <w:p>
      <w:pPr>
        <w:pStyle w:val="ListBullet"/>
        <w:spacing w:before="0" w:after="40"/>
        <w:ind w:left="360"/>
      </w:pPr>
      <w:r>
        <w:rPr>
          <w:sz w:val="20"/>
        </w:rPr>
        <w:t>US 12382148 — Apparatus and Methods for Thumbnail Generation (TWC, 2025)</w:t>
      </w:r>
    </w:p>
    <w:p>
      <w:pPr>
        <w:pStyle w:val="ListBullet"/>
        <w:spacing w:before="0" w:after="40"/>
        <w:ind w:left="360"/>
      </w:pPr>
      <w:r>
        <w:rPr>
          <w:sz w:val="20"/>
        </w:rPr>
        <w:t>US 11310567 — Apparatus and Methods for Thumbnail Generation (TWC, 2022)</w:t>
      </w:r>
    </w:p>
    <w:p>
      <w:pPr>
        <w:pStyle w:val="ListBullet"/>
        <w:spacing w:before="0" w:after="40"/>
        <w:ind w:left="360"/>
      </w:pPr>
      <w:r>
        <w:rPr>
          <w:sz w:val="20"/>
        </w:rPr>
        <w:t>US 10667018 — Asynchronous Workflows (TWC, 2020)</w:t>
      </w:r>
    </w:p>
    <w:p>
      <w:pPr>
        <w:pStyle w:val="ListBullet"/>
        <w:spacing w:before="0" w:after="40"/>
        <w:ind w:left="360"/>
      </w:pPr>
      <w:r>
        <w:rPr>
          <w:sz w:val="20"/>
        </w:rPr>
        <w:t>US 10375452 — Apparatus and Methods for Thumbnail Generation (TWC, 2019)</w:t>
      </w:r>
    </w:p>
    <w:p>
      <w:pPr>
        <w:pStyle w:val="ListBullet"/>
        <w:spacing w:before="0" w:after="40"/>
        <w:ind w:left="360"/>
      </w:pPr>
      <w:r>
        <w:rPr>
          <w:sz w:val="20"/>
        </w:rPr>
        <w:t>US 8769151 — Adding Advertising Content to Media Content (Facebook, 2014)</w:t>
      </w:r>
    </w:p>
    <w:p>
      <w:pPr>
        <w:pStyle w:val="ListBullet"/>
        <w:spacing w:before="0" w:after="40"/>
        <w:ind w:left="360"/>
      </w:pPr>
      <w:r>
        <w:rPr>
          <w:sz w:val="20"/>
        </w:rPr>
        <w:t>US 8762575 — Inserting Advertising Content (Facebook, 2014)</w:t>
      </w:r>
    </w:p>
    <w:p>
      <w:pPr>
        <w:pStyle w:val="ListBullet"/>
        <w:spacing w:before="0" w:after="40"/>
        <w:ind w:left="360"/>
      </w:pPr>
      <w:r>
        <w:rPr>
          <w:sz w:val="20"/>
        </w:rPr>
        <w:t>US 8028092 — Inserting Advertising Content (AOL, 2011)</w:t>
      </w:r>
    </w:p>
    <w:p>
      <w:pPr>
        <w:spacing w:before="0" w:after="40"/>
      </w:pPr>
      <w:r>
        <w:rPr>
          <w:b/>
          <w:i w:val="0"/>
          <w:sz w:val="20"/>
        </w:rPr>
        <w:t>Pending:</w:t>
      </w:r>
    </w:p>
    <w:p>
      <w:pPr>
        <w:pStyle w:val="ListBullet"/>
        <w:spacing w:before="0" w:after="40"/>
        <w:ind w:left="360"/>
      </w:pPr>
      <w:r>
        <w:rPr>
          <w:sz w:val="20"/>
        </w:rPr>
        <w:t>US 20260057418 — Generative AI Creative Platform (NBCU, 2026)</w:t>
      </w:r>
    </w:p>
    <w:p>
      <w:pPr>
        <w:pStyle w:val="ListBullet"/>
        <w:spacing w:before="0" w:after="40"/>
        <w:ind w:left="360"/>
      </w:pPr>
      <w:r>
        <w:rPr>
          <w:sz w:val="20"/>
        </w:rPr>
        <w:t>US 20250203152 — Timed Metadata for Overlays (NBCU, 2025)</w:t>
      </w:r>
    </w:p>
    <w:p>
      <w:pPr>
        <w:pStyle w:val="ListBullet"/>
        <w:spacing w:before="0" w:after="40"/>
        <w:ind w:left="360"/>
      </w:pPr>
      <w:r>
        <w:rPr>
          <w:sz w:val="20"/>
        </w:rPr>
        <w:t>US 20240430496 — Dynamic In-Scene Secondary Content Insertion (NBCU, 2024)</w:t>
      </w:r>
    </w:p>
    <w:p>
      <w:pPr>
        <w:spacing w:before="160" w:after="40"/>
        <w:pBdr>
          <w:bottom w:val="single" w:sz="6" w:space="1" w:color="888888"/>
        </w:pBdr>
      </w:pPr>
      <w:r>
        <w:rPr>
          <w:b/>
          <w:color w:val="1F3A5F"/>
          <w:sz w:val="24"/>
        </w:rPr>
        <w:t>AWARDS</w:t>
      </w:r>
    </w:p>
    <w:p>
      <w:pPr>
        <w:pStyle w:val="ListBullet"/>
        <w:spacing w:before="0" w:after="40"/>
        <w:ind w:left="360"/>
      </w:pPr>
      <w:r>
        <w:rPr>
          <w:sz w:val="20"/>
        </w:rPr>
        <w:t>Outstanding Interactive Experience Emmy Award (2025) — NBCUniversal, Paris 2024 Olympics; individually named Software Developer</w:t>
      </w:r>
    </w:p>
    <w:p>
      <w:pPr>
        <w:pStyle w:val="ListBullet"/>
        <w:spacing w:before="0" w:after="40"/>
        <w:ind w:left="360"/>
      </w:pPr>
      <w:r>
        <w:rPr>
          <w:sz w:val="20"/>
        </w:rPr>
        <w:t>Technology &amp; Engineering Emmy Award (2023) — NBCUniversal, Key Plays AI/ML sports highlights platform</w:t>
      </w:r>
    </w:p>
    <w:p>
      <w:pPr>
        <w:pStyle w:val="ListBullet"/>
        <w:spacing w:before="0" w:after="40"/>
        <w:ind w:left="360"/>
      </w:pPr>
      <w:r>
        <w:rPr>
          <w:sz w:val="20"/>
        </w:rPr>
        <w:t>Emmy Award (2014) — Time Warner Cable, TWCTV Application (OTT innovation)</w:t>
      </w:r>
    </w:p>
    <w:p>
      <w:pPr>
        <w:pStyle w:val="ListBullet"/>
        <w:spacing w:before="0" w:after="40"/>
        <w:ind w:left="360"/>
      </w:pPr>
      <w:r>
        <w:rPr>
          <w:sz w:val="20"/>
        </w:rPr>
        <w:t>Emmy Award (2005) — AOL, Live 8 Concert (world-record concurrent live streaming)</w:t>
      </w:r>
    </w:p>
    <w:p>
      <w:pPr>
        <w:spacing w:before="160" w:after="40"/>
        <w:pBdr>
          <w:bottom w:val="single" w:sz="6" w:space="1" w:color="888888"/>
        </w:pBdr>
      </w:pPr>
      <w:r>
        <w:rPr>
          <w:b/>
          <w:color w:val="1F3A5F"/>
          <w:sz w:val="24"/>
        </w:rPr>
        <w:t>PROFESSIONAL AFFILIATIONS</w:t>
      </w:r>
    </w:p>
    <w:p>
      <w:pPr>
        <w:pStyle w:val="ListBullet"/>
        <w:spacing w:before="0" w:after="40"/>
        <w:ind w:left="360"/>
      </w:pPr>
      <w:r>
        <w:rPr>
          <w:sz w:val="20"/>
        </w:rPr>
        <w:t>Television Academy — Science and Technology Peer Group Member</w:t>
      </w:r>
    </w:p>
    <w:p>
      <w:pPr>
        <w:spacing w:before="160" w:after="40"/>
        <w:pBdr>
          <w:bottom w:val="single" w:sz="6" w:space="1" w:color="888888"/>
        </w:pBdr>
      </w:pPr>
      <w:r>
        <w:rPr>
          <w:b/>
          <w:color w:val="1F3A5F"/>
          <w:sz w:val="24"/>
        </w:rPr>
        <w:t>EDUCATION</w:t>
      </w:r>
    </w:p>
    <w:p>
      <w:pPr>
        <w:spacing w:before="0" w:after="40"/>
      </w:pPr>
      <w:r>
        <w:rPr>
          <w:b w:val="0"/>
          <w:i w:val="0"/>
          <w:sz w:val="20"/>
        </w:rPr>
        <w:t>University of Maryland, College Park | 1990 – 1994</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