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6"/>
        </w:rPr>
        <w:t>ERIC MANCHESTER</w:t>
      </w:r>
    </w:p>
    <w:p>
      <w:pPr>
        <w:spacing w:before="0" w:after="120"/>
        <w:jc w:val="center"/>
      </w:pPr>
      <w:r>
        <w:rPr>
          <w:b w:val="0"/>
          <w:i w:val="0"/>
          <w:sz w:val="20"/>
        </w:rPr>
        <w:t>Rockville, MD  |  (240) 481-6737  |  eric.manchester@gmail.com  |  linkedin.com/in/eric-manchester</w:t>
      </w:r>
    </w:p>
    <w:p>
      <w:pPr>
        <w:spacing w:before="160" w:after="40"/>
        <w:pBdr>
          <w:bottom w:val="single" w:sz="6" w:space="1" w:color="888888"/>
        </w:pBdr>
      </w:pPr>
      <w:r>
        <w:rPr>
          <w:b/>
          <w:color w:val="1F3A5F"/>
          <w:sz w:val="24"/>
        </w:rPr>
        <w:t>PROFESSIONAL SUMMARY</w:t>
      </w:r>
    </w:p>
    <w:p>
      <w:pPr>
        <w:spacing w:before="0" w:after="80"/>
      </w:pPr>
      <w:r>
        <w:rPr>
          <w:b w:val="0"/>
          <w:i w:val="0"/>
          <w:sz w:val="20"/>
        </w:rPr>
        <w:t>Architect and technical lead with 20+ years designing large-scale, cloud-native systems — from enterprise OTT platforms serving millions of users to AI orchestration pipelines built for production reliability. Bring deep hands-on experience across distributed systems, API design, LLM integration, and automated test pipelines, with a track record of owning full technical direction from architecture through deployment. At NBCUniversal, designed and shipped AI-native features — including multi-model orchestration for personalized content generation at scale — that required exactly the kind of agent-quality judgment, compound system thinking, and agentic workflow design this role demands. Operate best at the intersection of deep engineering execution and systems-level leadership, where the decisions made today shape how every future build gets done.</w:t>
      </w:r>
    </w:p>
    <w:p>
      <w:pPr>
        <w:spacing w:before="160" w:after="40"/>
        <w:pBdr>
          <w:bottom w:val="single" w:sz="6" w:space="1" w:color="888888"/>
        </w:pBdr>
      </w:pPr>
      <w:r>
        <w:rPr>
          <w:b/>
          <w:color w:val="1F3A5F"/>
          <w:sz w:val="24"/>
        </w:rPr>
        <w:t>CORE TECHNICAL SKILLS</w:t>
      </w:r>
    </w:p>
    <w:p>
      <w:pPr>
        <w:spacing w:before="0" w:after="40"/>
      </w:pPr>
      <w:r>
        <w:rPr>
          <w:b/>
          <w:sz w:val="20"/>
        </w:rPr>
        <w:t xml:space="preserve">Architecture &amp; Systems Design: </w:t>
      </w:r>
      <w:r>
        <w:rPr>
          <w:sz w:val="20"/>
        </w:rPr>
        <w:t>Distributed Systems Architecture, Microservices Design, API Design, Real-Time Data Processing, Cloud-Native Infrastructure, SaaS Platform Architecture, Service Boundary Design, Scalability Strategy</w:t>
      </w:r>
    </w:p>
    <w:p>
      <w:pPr>
        <w:spacing w:before="0" w:after="40"/>
      </w:pPr>
      <w:r>
        <w:rPr>
          <w:b/>
          <w:sz w:val="20"/>
        </w:rPr>
        <w:t xml:space="preserve">AI &amp; LLM Engineering: </w:t>
      </w:r>
      <w:r>
        <w:rPr>
          <w:sz w:val="20"/>
        </w:rPr>
        <w:t>LLM Integration, Multi-Model Orchestration, Prompt Engineering, RAG Systems, AI Agent Workflow Design, Anthropic Claude, OpenAI, Autonomous Diagnostics, Structured Output Enforcement</w:t>
      </w:r>
    </w:p>
    <w:p>
      <w:pPr>
        <w:spacing w:before="0" w:after="40"/>
      </w:pPr>
      <w:r>
        <w:rPr>
          <w:b/>
          <w:sz w:val="20"/>
        </w:rPr>
        <w:t xml:space="preserve">Engineering Automation &amp; Quality: </w:t>
      </w:r>
      <w:r>
        <w:rPr>
          <w:sz w:val="20"/>
        </w:rPr>
        <w:t>CI/CD Pipeline Design, End-to-End Test Automation, Automated Regression Suites, Quality Gates, Audit Logging, Error Recovery Pipelines, Diagnostic Trace Systems</w:t>
      </w:r>
    </w:p>
    <w:p>
      <w:pPr>
        <w:spacing w:before="0" w:after="40"/>
      </w:pPr>
      <w:r>
        <w:rPr>
          <w:b/>
          <w:sz w:val="20"/>
        </w:rPr>
        <w:t xml:space="preserve">Cloud &amp; Infrastructure: </w:t>
      </w:r>
      <w:r>
        <w:rPr>
          <w:sz w:val="20"/>
        </w:rPr>
        <w:t>AWS, CDN Architecture, Streaming Infrastructure, Multi-Vendor SaaS Integration, Content Delivery Networks, Distributed Headend Operations</w:t>
      </w:r>
    </w:p>
    <w:p>
      <w:pPr>
        <w:spacing w:before="0" w:after="40"/>
      </w:pPr>
      <w:r>
        <w:rPr>
          <w:b/>
          <w:sz w:val="20"/>
        </w:rPr>
        <w:t xml:space="preserve">Languages &amp; Tooling: </w:t>
      </w:r>
      <w:r>
        <w:rPr>
          <w:sz w:val="20"/>
        </w:rPr>
        <w:t>Python, JavaScript, Agile Methodologies, Vendor Evaluation and Management, Cross-Functional Technical Leadership</w:t>
      </w:r>
    </w:p>
    <w:p>
      <w:pPr>
        <w:spacing w:before="160" w:after="40"/>
        <w:pBdr>
          <w:bottom w:val="single" w:sz="6" w:space="1" w:color="888888"/>
        </w:pBdr>
      </w:pPr>
      <w:r>
        <w:rPr>
          <w:b/>
          <w:color w:val="1F3A5F"/>
          <w:sz w:val="24"/>
        </w:rPr>
        <w:t>PROFESSIONAL EXPERIENCE</w:t>
      </w:r>
    </w:p>
    <w:p>
      <w:pPr>
        <w:spacing w:before="120" w:after="0"/>
      </w:pPr>
      <w:r>
        <w:rPr>
          <w:b/>
          <w:sz w:val="22"/>
        </w:rPr>
        <w:t>Solutions Architect | Harmonic | 2025 – Present</w:t>
      </w:r>
    </w:p>
    <w:p>
      <w:pPr>
        <w:spacing w:before="0" w:after="40"/>
      </w:pPr>
      <w:r>
        <w:rPr>
          <w:b w:val="0"/>
          <w:i/>
          <w:sz w:val="18"/>
        </w:rPr>
        <w:t>Remote</w:t>
      </w:r>
    </w:p>
    <w:p>
      <w:pPr>
        <w:pStyle w:val="ListBullet"/>
        <w:spacing w:before="0" w:after="40"/>
        <w:ind w:left="360"/>
      </w:pPr>
      <w:r>
        <w:rPr>
          <w:sz w:val="20"/>
        </w:rPr>
        <w:t>Architect end-to-end cloud-native solutions for tier-1 broadcasters, translating complex enterprise requirements into scalable service architectures spanning ingest, processing, and multi-platform delivery.</w:t>
      </w:r>
    </w:p>
    <w:p>
      <w:pPr>
        <w:pStyle w:val="ListBullet"/>
        <w:spacing w:before="0" w:after="40"/>
        <w:ind w:left="360"/>
      </w:pPr>
      <w:r>
        <w:rPr>
          <w:sz w:val="20"/>
        </w:rPr>
        <w:t>Design API-driven integration patterns connecting customer infrastructure to SaaS delivery platforms, ensuring high-throughput performance and production-grade reliability for enterprise broadcast workflows.</w:t>
      </w:r>
    </w:p>
    <w:p>
      <w:pPr>
        <w:pStyle w:val="ListBullet"/>
        <w:spacing w:before="0" w:after="40"/>
        <w:ind w:left="360"/>
      </w:pPr>
      <w:r>
        <w:rPr>
          <w:sz w:val="20"/>
        </w:rPr>
        <w:t>Evaluate emerging AI and automation capabilities against real customer deployment constraints, identifying where intelligent tooling accelerates delivery and where human judgment remains critical.</w:t>
      </w:r>
    </w:p>
    <w:p>
      <w:pPr>
        <w:pStyle w:val="ListBullet"/>
        <w:spacing w:before="0" w:after="40"/>
        <w:ind w:left="360"/>
      </w:pPr>
      <w:r>
        <w:rPr>
          <w:sz w:val="20"/>
        </w:rPr>
        <w:t>Act as technical SME bridging customer engineering teams and executive stakeholders, converting ambiguous requirements into precise architecture specifications ready for build execution.</w:t>
      </w:r>
    </w:p>
    <w:p>
      <w:pPr>
        <w:pStyle w:val="ListBullet"/>
        <w:spacing w:before="0" w:after="40"/>
        <w:ind w:left="360"/>
      </w:pPr>
      <w:r>
        <w:rPr>
          <w:sz w:val="20"/>
        </w:rPr>
        <w:t>Assess and guide multi-vendor SaaS ecosystems — coordinating hardware, software, and platform providers into cohesive, auditable delivery pipelines for large-scale content operations.</w:t>
      </w:r>
    </w:p>
    <w:p>
      <w:pPr>
        <w:pStyle w:val="ListBullet"/>
        <w:spacing w:before="0" w:after="40"/>
        <w:ind w:left="360"/>
      </w:pPr>
      <w:r>
        <w:rPr>
          <w:sz w:val="20"/>
        </w:rPr>
        <w:t>Define reference architectures and integration patterns that enable customers to adopt cloud-native infrastructure without sacrificing the reliability standards broadcast-grade operations demand.</w:t>
      </w:r>
    </w:p>
    <w:p>
      <w:pPr>
        <w:spacing w:before="120" w:after="0"/>
      </w:pPr>
      <w:r>
        <w:rPr>
          <w:b/>
          <w:sz w:val="22"/>
        </w:rPr>
        <w:t>Founder and Principal R&amp;D Architect | RE Kreations LLC | 2017 – Present</w:t>
      </w:r>
    </w:p>
    <w:p>
      <w:pPr>
        <w:spacing w:before="0" w:after="40"/>
      </w:pPr>
      <w:r>
        <w:rPr>
          <w:b w:val="0"/>
          <w:i/>
          <w:sz w:val="18"/>
        </w:rPr>
        <w:t>Rockville, MD</w:t>
      </w:r>
    </w:p>
    <w:p>
      <w:pPr>
        <w:pStyle w:val="ListBullet"/>
        <w:spacing w:before="0" w:after="40"/>
        <w:ind w:left="360"/>
      </w:pPr>
      <w:r>
        <w:rPr>
          <w:sz w:val="20"/>
        </w:rPr>
        <w:t>Independently designed, built, and maintain a production AI orchestration platform coordinating multiple LLM models — Mixtral via vLLM, Phi-3, Claude, and OpenAI Codex — across multi-stage document processing pipelines for enterprise clients.</w:t>
      </w:r>
    </w:p>
    <w:p>
      <w:pPr>
        <w:pStyle w:val="ListBullet"/>
        <w:spacing w:before="0" w:after="40"/>
        <w:ind w:left="360"/>
      </w:pPr>
      <w:r>
        <w:rPr>
          <w:sz w:val="20"/>
        </w:rPr>
        <w:t>Engineered a prompt orchestration framework with intelligent routing, token window management, and structured output enforcement using Type A Markdown specifications, ensuring machine-parseable outputs reliable enough for downstream automation.</w:t>
      </w:r>
    </w:p>
    <w:p>
      <w:pPr>
        <w:pStyle w:val="ListBullet"/>
        <w:spacing w:before="0" w:after="40"/>
        <w:ind w:left="360"/>
      </w:pPr>
      <w:r>
        <w:rPr>
          <w:sz w:val="20"/>
        </w:rPr>
        <w:t>Built an autonomous diagnostics subsystem providing real-time token usage tracking, model call tracing, error detection, and repair feedback — applying broadcast-grade audit and recovery patterns to LLM workflow stability.</w:t>
      </w:r>
    </w:p>
    <w:p>
      <w:pPr>
        <w:pStyle w:val="ListBullet"/>
        <w:spacing w:before="0" w:after="40"/>
        <w:ind w:left="360"/>
      </w:pPr>
      <w:r>
        <w:rPr>
          <w:sz w:val="20"/>
        </w:rPr>
        <w:t>Designed end-to-end test coverage with diagnostic trace corpus and format repair validation, creating a CI-integrated quality layer that catches output failures before they propagate through the automation pipeline.</w:t>
      </w:r>
    </w:p>
    <w:p>
      <w:pPr>
        <w:pStyle w:val="ListBullet"/>
        <w:spacing w:before="0" w:after="40"/>
        <w:ind w:left="360"/>
      </w:pPr>
      <w:r>
        <w:rPr>
          <w:sz w:val="20"/>
        </w:rPr>
        <w:t>Architected multi-format ingestion — audio, PDF, email, markdown — into a unified metadata extraction pipeline using microservices patterns, extending proven content pipeline architecture from broadcast into the enterprise AI domain.</w:t>
      </w:r>
    </w:p>
    <w:p>
      <w:pPr>
        <w:pStyle w:val="ListBullet"/>
        <w:spacing w:before="0" w:after="40"/>
        <w:ind w:left="360"/>
      </w:pPr>
      <w:r>
        <w:rPr>
          <w:sz w:val="20"/>
        </w:rPr>
        <w:t>Contracted and delivered multiple client engagements extending the platform to emerging AI and SaaS environments, operating with full ownership of architecture, implementation, and post-deployment optimization.</w:t>
      </w:r>
    </w:p>
    <w:p>
      <w:pPr>
        <w:spacing w:before="120" w:after="0"/>
      </w:pPr>
      <w:r>
        <w:rPr>
          <w:b/>
          <w:sz w:val="22"/>
        </w:rPr>
        <w:t>Principal End-to-End Architect | NBCUniversal | 2021 – 2025</w:t>
      </w:r>
    </w:p>
    <w:p>
      <w:pPr>
        <w:spacing w:before="0" w:after="40"/>
      </w:pPr>
      <w:r>
        <w:rPr>
          <w:b w:val="0"/>
          <w:i/>
          <w:sz w:val="18"/>
        </w:rPr>
        <w:t>Remote</w:t>
      </w:r>
    </w:p>
    <w:p>
      <w:pPr>
        <w:spacing w:before="0" w:after="40"/>
      </w:pPr>
      <w:r>
        <w:rPr>
          <w:b w:val="0"/>
          <w:i/>
          <w:sz w:val="20"/>
        </w:rPr>
        <w:t>During organizational restructuring in early 2025, I transitioned from NBCUniversal.</w:t>
      </w:r>
    </w:p>
    <w:p>
      <w:pPr>
        <w:pStyle w:val="ListBullet"/>
        <w:spacing w:before="0" w:after="40"/>
        <w:ind w:left="360"/>
      </w:pPr>
      <w:r>
        <w:rPr>
          <w:sz w:val="20"/>
        </w:rPr>
        <w:t>Architected the Olympic Daily Recap system — a multi-model LLM orchestration pipeline generating over 7 million personalized video variants using a synthetic Al Michaels voice, coordinating content ingestion, metadata extraction, prompt routing, and structured output enforcement at production scale.</w:t>
      </w:r>
    </w:p>
    <w:p>
      <w:pPr>
        <w:pStyle w:val="ListBullet"/>
        <w:spacing w:before="0" w:after="40"/>
        <w:ind w:left="360"/>
      </w:pPr>
      <w:r>
        <w:rPr>
          <w:sz w:val="20"/>
        </w:rPr>
        <w:t>Designed the Key Plays AI feature for live sports, applying near real-time ML inference to detect and surface highlight moments during live broadcasts — shipped to millions of concurrent users with latency and accuracy requirements that demanded full end-to-end architecture ownership.</w:t>
      </w:r>
    </w:p>
    <w:p>
      <w:pPr>
        <w:pStyle w:val="ListBullet"/>
        <w:spacing w:before="0" w:after="40"/>
        <w:ind w:left="360"/>
      </w:pPr>
      <w:r>
        <w:rPr>
          <w:sz w:val="20"/>
        </w:rPr>
        <w:t>Built automated CI-integrated quality pipelines connecting content acceptance criteria to regression suites and output validation gates, enforcing structured output correctness across AI-generated media at scale.</w:t>
      </w:r>
    </w:p>
    <w:p>
      <w:pPr>
        <w:pStyle w:val="ListBullet"/>
        <w:spacing w:before="0" w:after="40"/>
        <w:ind w:left="360"/>
      </w:pPr>
      <w:r>
        <w:rPr>
          <w:sz w:val="20"/>
        </w:rPr>
        <w:t>Operated as principal architect and individual contributor across the full system — from API design and service boundary decisions to security-critical data flows and cloud infrastructure choices — with no dependency on a separate architecture layer for final decisions.</w:t>
      </w:r>
    </w:p>
    <w:p>
      <w:pPr>
        <w:pStyle w:val="ListBullet"/>
        <w:spacing w:before="0" w:after="40"/>
        <w:ind w:left="360"/>
      </w:pPr>
      <w:r>
        <w:rPr>
          <w:sz w:val="20"/>
        </w:rPr>
        <w:t>Encoded system learnings back into architecture patterns and workflow templates after each major feature shipped, systematically improving the reliability of AI-assisted content generation across subsequent build cycles.</w:t>
      </w:r>
    </w:p>
    <w:p>
      <w:pPr>
        <w:pStyle w:val="ListBullet"/>
        <w:spacing w:before="0" w:after="40"/>
        <w:ind w:left="360"/>
      </w:pPr>
      <w:r>
        <w:rPr>
          <w:sz w:val="20"/>
        </w:rPr>
        <w:t>Designed ad tech systems integrating dynamic ad insertion with AI-driven content workflows, achieving over 200% revenue growth on targeted product surfaces by tightening the connection between content metadata and monetization triggers.</w:t>
      </w:r>
    </w:p>
    <w:p>
      <w:pPr>
        <w:spacing w:before="120" w:after="0"/>
      </w:pPr>
      <w:r>
        <w:rPr>
          <w:b/>
          <w:sz w:val="22"/>
        </w:rPr>
        <w:t>Innovation and Emerging Technology Lead | Leidos | 2019 – 2020</w:t>
      </w:r>
    </w:p>
    <w:p>
      <w:pPr>
        <w:spacing w:before="0" w:after="40"/>
      </w:pPr>
      <w:r>
        <w:rPr>
          <w:b w:val="0"/>
          <w:i/>
          <w:sz w:val="18"/>
        </w:rPr>
        <w:t>Washington, DC</w:t>
      </w:r>
    </w:p>
    <w:p>
      <w:pPr>
        <w:pStyle w:val="ListBullet"/>
        <w:spacing w:before="0" w:after="40"/>
        <w:ind w:left="360"/>
      </w:pPr>
      <w:r>
        <w:rPr>
          <w:sz w:val="20"/>
        </w:rPr>
        <w:t>Advised government and enterprise clients on emerging technology adoption, translating complex AI and distributed systems architectures into procurement-ready specifications aligned to mission-critical operational requirements.</w:t>
      </w:r>
    </w:p>
    <w:p>
      <w:pPr>
        <w:pStyle w:val="ListBullet"/>
        <w:spacing w:before="0" w:after="40"/>
        <w:ind w:left="360"/>
      </w:pPr>
      <w:r>
        <w:rPr>
          <w:sz w:val="20"/>
        </w:rPr>
        <w:t>Designed technical consultation frameworks connecting customer capability gaps to scalable system architectures, operating as the primary technical authority across pre- and post-sales engagements.</w:t>
      </w:r>
    </w:p>
    <w:p>
      <w:pPr>
        <w:pStyle w:val="ListBullet"/>
        <w:spacing w:before="0" w:after="40"/>
        <w:ind w:left="360"/>
      </w:pPr>
      <w:r>
        <w:rPr>
          <w:sz w:val="20"/>
        </w:rPr>
        <w:t>Evaluated AI and automation tooling against government-grade security and compliance requirements, identifying where emerging platforms could be hardened for regulated-environment deployment.</w:t>
      </w:r>
    </w:p>
    <w:p>
      <w:pPr>
        <w:pStyle w:val="ListBullet"/>
        <w:spacing w:before="0" w:after="40"/>
        <w:ind w:left="360"/>
      </w:pPr>
      <w:r>
        <w:rPr>
          <w:sz w:val="20"/>
        </w:rPr>
        <w:t>Built reference architectures for enterprise automation use cases, providing clients with technically precise specifications that reduced ambiguity at the start of build cycles and improved vendor evaluation accuracy.</w:t>
      </w:r>
    </w:p>
    <w:p>
      <w:pPr>
        <w:pStyle w:val="ListBullet"/>
        <w:spacing w:before="0" w:after="40"/>
        <w:ind w:left="360"/>
      </w:pPr>
      <w:r>
        <w:rPr>
          <w:sz w:val="20"/>
        </w:rPr>
        <w:t>Operated autonomously across engagements — scoping requirements, designing solutions, and delivering technical recommendations without a supporting architecture layer — mirroring the independent ownership model this role demands.</w:t>
      </w:r>
    </w:p>
    <w:p>
      <w:pPr>
        <w:spacing w:before="120" w:after="0"/>
      </w:pPr>
      <w:r>
        <w:rPr>
          <w:b/>
          <w:sz w:val="22"/>
        </w:rPr>
        <w:t>Sr. Solutions Architect | Ooyala | 2017 – 2018</w:t>
      </w:r>
    </w:p>
    <w:p>
      <w:pPr>
        <w:spacing w:before="0" w:after="40"/>
      </w:pPr>
      <w:r>
        <w:rPr>
          <w:b w:val="0"/>
          <w:i/>
          <w:sz w:val="18"/>
        </w:rPr>
        <w:t>Remote</w:t>
      </w:r>
    </w:p>
    <w:p>
      <w:pPr>
        <w:pStyle w:val="ListBullet"/>
        <w:spacing w:before="0" w:after="40"/>
        <w:ind w:left="360"/>
      </w:pPr>
      <w:r>
        <w:rPr>
          <w:sz w:val="20"/>
        </w:rPr>
        <w:t>Architected end-to-end SaaS media lifecycle solutions for enterprise clients, designing integration patterns connecting content acquisition, processing, metadata management, and multi-platform delivery into cohesive workflows.</w:t>
      </w:r>
    </w:p>
    <w:p>
      <w:pPr>
        <w:pStyle w:val="ListBullet"/>
        <w:spacing w:before="0" w:after="40"/>
        <w:ind w:left="360"/>
      </w:pPr>
      <w:r>
        <w:rPr>
          <w:sz w:val="20"/>
        </w:rPr>
        <w:t>Translated C-suite and engineering requirements simultaneously — designing systems that satisfied technical depth at the implementation layer while mapping cleanly to business outcomes executives needed to fund.</w:t>
      </w:r>
    </w:p>
    <w:p>
      <w:pPr>
        <w:pStyle w:val="ListBullet"/>
        <w:spacing w:before="0" w:after="40"/>
        <w:ind w:left="360"/>
      </w:pPr>
      <w:r>
        <w:rPr>
          <w:sz w:val="20"/>
        </w:rPr>
        <w:t>Evaluated and recommended SaaS platform configurations for large-scale media operations, assessing API design, throughput limits, and integration complexity before committing clients to architectural decisions.</w:t>
      </w:r>
    </w:p>
    <w:p>
      <w:pPr>
        <w:pStyle w:val="ListBullet"/>
        <w:spacing w:before="0" w:after="40"/>
        <w:ind w:left="360"/>
      </w:pPr>
      <w:r>
        <w:rPr>
          <w:sz w:val="20"/>
        </w:rPr>
        <w:t>Designed multi-vendor integration architectures connecting hardware, software, and SaaS providers into auditable delivery pipelines, reducing operational fragility across complex enterprise media environments.</w:t>
      </w:r>
    </w:p>
    <w:p>
      <w:pPr>
        <w:pStyle w:val="ListBullet"/>
        <w:spacing w:before="0" w:after="40"/>
        <w:ind w:left="360"/>
      </w:pPr>
      <w:r>
        <w:rPr>
          <w:sz w:val="20"/>
        </w:rPr>
        <w:t>Operated as primary technical authority on client engagements, producing architecture specifications precise enough for engineering teams to execute without requiring iterative clarification loops.</w:t>
      </w:r>
    </w:p>
    <w:p>
      <w:pPr>
        <w:spacing w:before="120" w:after="0"/>
      </w:pPr>
      <w:r>
        <w:rPr>
          <w:b/>
          <w:sz w:val="22"/>
        </w:rPr>
        <w:t>Principal Engineer, Video-On-Demand | Time Warner Cable | 2012 – 2017</w:t>
      </w:r>
    </w:p>
    <w:p>
      <w:pPr>
        <w:spacing w:before="0" w:after="40"/>
      </w:pPr>
      <w:r>
        <w:rPr>
          <w:b w:val="0"/>
          <w:i/>
          <w:sz w:val="18"/>
        </w:rPr>
        <w:t>Remote</w:t>
      </w:r>
    </w:p>
    <w:p>
      <w:pPr>
        <w:pStyle w:val="ListBullet"/>
        <w:spacing w:before="0" w:after="40"/>
        <w:ind w:left="360"/>
      </w:pPr>
      <w:r>
        <w:rPr>
          <w:sz w:val="20"/>
        </w:rPr>
        <w:t>Architected the centralized VOD platform for Time Warner Cable's TWCTV application, unifying content acquisition, processing, and CDN-based distribution workflows across regional operations into a single scalable headend — serving millions of cable subscribers across set-top box and emerging OTT environments.</w:t>
      </w:r>
    </w:p>
    <w:p>
      <w:pPr>
        <w:pStyle w:val="ListBullet"/>
        <w:spacing w:before="0" w:after="40"/>
        <w:ind w:left="360"/>
      </w:pPr>
      <w:r>
        <w:rPr>
          <w:sz w:val="20"/>
        </w:rPr>
        <w:t>Anticipated the OTT adoption inflection point and built prototypes that directly informed TWCTV's architecture for DRM and dynamic ad insertion, shaping security and monetization patterns before industry adoption made them standard requirements.</w:t>
      </w:r>
    </w:p>
    <w:p>
      <w:pPr>
        <w:pStyle w:val="ListBullet"/>
        <w:spacing w:before="0" w:after="40"/>
        <w:ind w:left="360"/>
      </w:pPr>
      <w:r>
        <w:rPr>
          <w:sz w:val="20"/>
        </w:rPr>
        <w:t>Directed implementation of just-in-time encryption DRM solutions, designing a security architecture that improved both content protection and delivery scalability without adding latency to playback pipelines.</w:t>
      </w:r>
    </w:p>
    <w:p>
      <w:pPr>
        <w:pStyle w:val="ListBullet"/>
        <w:spacing w:before="0" w:after="40"/>
        <w:ind w:left="360"/>
      </w:pPr>
      <w:r>
        <w:rPr>
          <w:sz w:val="20"/>
        </w:rPr>
        <w:t>Acted as SME from engineering teams to C-suite on content acquisition, processing, CDN distribution, and user playback — owning the full technical narrative across organizational layers and securing executive alignment on major platform changes.</w:t>
      </w:r>
    </w:p>
    <w:p>
      <w:pPr>
        <w:pStyle w:val="ListBullet"/>
        <w:spacing w:before="0" w:after="40"/>
        <w:ind w:left="360"/>
      </w:pPr>
      <w:r>
        <w:rPr>
          <w:sz w:val="20"/>
        </w:rPr>
        <w:t>Evaluated, integrated, and managed multiple hardware, software, and SaaS providers simultaneously, coordinating cross-vendor dependencies into a coherent delivery ecosystem without operational fragility.</w:t>
      </w:r>
    </w:p>
    <w:p>
      <w:pPr>
        <w:pStyle w:val="ListBullet"/>
        <w:spacing w:before="0" w:after="40"/>
        <w:ind w:left="360"/>
      </w:pPr>
      <w:r>
        <w:rPr>
          <w:sz w:val="20"/>
        </w:rPr>
        <w:t>Led Agile teams of 4–6 engineers to execute against a technical roadmap, encoding architecture decisions into team workflows and ensuring implementation alignment with the system patterns set at the architecture layer.</w:t>
      </w:r>
    </w:p>
    <w:p>
      <w:pPr>
        <w:spacing w:before="120" w:after="0"/>
      </w:pPr>
      <w:r>
        <w:rPr>
          <w:b/>
          <w:sz w:val="22"/>
        </w:rPr>
        <w:t>Manager, Digital Media Delivery | Time Warner Cable | 2006 – 2012</w:t>
      </w:r>
    </w:p>
    <w:p>
      <w:pPr>
        <w:spacing w:before="0" w:after="40"/>
      </w:pPr>
      <w:r>
        <w:rPr>
          <w:b w:val="0"/>
          <w:i/>
          <w:sz w:val="18"/>
        </w:rPr>
        <w:t>Sterling, VA</w:t>
      </w:r>
    </w:p>
    <w:p>
      <w:pPr>
        <w:pStyle w:val="ListBullet"/>
        <w:spacing w:before="0" w:after="40"/>
        <w:ind w:left="360"/>
      </w:pPr>
      <w:r>
        <w:rPr>
          <w:sz w:val="20"/>
        </w:rPr>
        <w:t>Designed and built early OTT streaming delivery infrastructure for Time Warner Cable's digital media platform, operating as a first-mover architect before OTT became a mainstream industry standard.</w:t>
      </w:r>
    </w:p>
    <w:p>
      <w:pPr>
        <w:pStyle w:val="ListBullet"/>
        <w:spacing w:before="0" w:after="40"/>
        <w:ind w:left="360"/>
      </w:pPr>
      <w:r>
        <w:rPr>
          <w:sz w:val="20"/>
        </w:rPr>
        <w:t>Architected ad tech systems integrating dynamic ad insertion into VOD workflows, achieving over 350% ad revenue growth by tightening the connection between content metadata, targeting logic, and delivery timing.</w:t>
      </w:r>
    </w:p>
    <w:p>
      <w:pPr>
        <w:pStyle w:val="ListBullet"/>
        <w:spacing w:before="0" w:after="40"/>
        <w:ind w:left="360"/>
      </w:pPr>
      <w:r>
        <w:rPr>
          <w:sz w:val="20"/>
        </w:rPr>
        <w:t>Led the SaaS transition for digital media delivery operations, designing migration architectures that maintained continuity of service for millions of subscribers while replacing legacy infrastructure components.</w:t>
      </w:r>
    </w:p>
    <w:p>
      <w:pPr>
        <w:pStyle w:val="ListBullet"/>
        <w:spacing w:before="0" w:after="40"/>
        <w:ind w:left="360"/>
      </w:pPr>
      <w:r>
        <w:rPr>
          <w:sz w:val="20"/>
        </w:rPr>
        <w:t>Built content processing and CDN distribution pipelines supporting multi-format delivery, applying standards-compliant encoding and distribution patterns to ensure playback reliability across device types.</w:t>
      </w:r>
    </w:p>
    <w:p>
      <w:pPr>
        <w:pStyle w:val="ListBullet"/>
        <w:spacing w:before="0" w:after="40"/>
        <w:ind w:left="360"/>
      </w:pPr>
      <w:r>
        <w:rPr>
          <w:sz w:val="20"/>
        </w:rPr>
        <w:t>Operated as individual contributor architect and technical lead simultaneously — writing code on critical path problems while owning the system-level decisions that shaped how the broader platform was built.</w:t>
      </w:r>
    </w:p>
    <w:p>
      <w:pPr>
        <w:pStyle w:val="ListBullet"/>
        <w:spacing w:before="0" w:after="40"/>
        <w:ind w:left="360"/>
      </w:pPr>
      <w:r>
        <w:rPr>
          <w:sz w:val="20"/>
        </w:rPr>
        <w:t>Evaluated and integrated emerging hardware and software platforms into the delivery stack, managing vendor relationships and technical integration complexity across multiple concurrent provider engagements.</w:t>
      </w:r>
    </w:p>
    <w:p>
      <w:pPr>
        <w:spacing w:before="120" w:after="0"/>
      </w:pPr>
      <w:r>
        <w:rPr>
          <w:b/>
          <w:sz w:val="22"/>
        </w:rPr>
        <w:t>Sr. Live Events Producer | AOL | 2001 – 2006</w:t>
      </w:r>
    </w:p>
    <w:p>
      <w:pPr>
        <w:spacing w:before="0" w:after="40"/>
      </w:pPr>
      <w:r>
        <w:rPr>
          <w:b w:val="0"/>
          <w:i/>
          <w:sz w:val="18"/>
        </w:rPr>
        <w:t>Sterling, VA</w:t>
      </w:r>
    </w:p>
    <w:p>
      <w:pPr>
        <w:pStyle w:val="ListBullet"/>
        <w:spacing w:before="0" w:after="40"/>
        <w:ind w:left="360"/>
      </w:pPr>
      <w:r>
        <w:rPr>
          <w:sz w:val="20"/>
        </w:rPr>
        <w:t>Designed and operated the first all-digital broadcast operations center for streaming and OTT content delivery — pre-YouTube, pre-iPhone — architecting live event infrastructure that set the operational template for large-scale internet broadcasting.</w:t>
      </w:r>
    </w:p>
    <w:p>
      <w:pPr>
        <w:pStyle w:val="ListBullet"/>
        <w:spacing w:before="0" w:after="40"/>
        <w:ind w:left="360"/>
      </w:pPr>
      <w:r>
        <w:rPr>
          <w:sz w:val="20"/>
        </w:rPr>
        <w:t>Architected the Live 8 Concert streaming delivery system, achieving a world record for concurrent streaming across 8 global sites and establishing technical patterns for multi-CDN, high-throughput live event distribution.</w:t>
      </w:r>
    </w:p>
    <w:p>
      <w:pPr>
        <w:pStyle w:val="ListBullet"/>
        <w:spacing w:before="0" w:after="40"/>
        <w:ind w:left="360"/>
      </w:pPr>
      <w:r>
        <w:rPr>
          <w:sz w:val="20"/>
        </w:rPr>
        <w:t>Built end-to-end live event production pipelines connecting content ingest, encoding, CDN distribution, and playback monitoring into cohesive workflows capable of handling unprecedented concurrent audience scale.</w:t>
      </w:r>
    </w:p>
    <w:p>
      <w:pPr>
        <w:pStyle w:val="ListBullet"/>
        <w:spacing w:before="0" w:after="40"/>
        <w:ind w:left="360"/>
      </w:pPr>
      <w:r>
        <w:rPr>
          <w:sz w:val="20"/>
        </w:rPr>
        <w:t>Designed automated quality and monitoring systems for live broadcast operations, applying diagnostic and recovery patterns to streaming infrastructure to maintain delivery reliability under peak load conditions.</w:t>
      </w:r>
    </w:p>
    <w:p>
      <w:pPr>
        <w:pStyle w:val="ListBullet"/>
        <w:spacing w:before="0" w:after="40"/>
        <w:ind w:left="360"/>
      </w:pPr>
      <w:r>
        <w:rPr>
          <w:sz w:val="20"/>
        </w:rPr>
        <w:t>Operated as architect and hands-on engineer simultaneously — designing the systems and building the critical-path components that no one else had built before, in a domain where no established playbook existed.</w:t>
      </w:r>
    </w:p>
    <w:p>
      <w:pPr>
        <w:spacing w:before="160" w:after="40"/>
        <w:pBdr>
          <w:bottom w:val="single" w:sz="6" w:space="1" w:color="888888"/>
        </w:pBdr>
      </w:pPr>
      <w:r>
        <w:rPr>
          <w:b/>
          <w:color w:val="1F3A5F"/>
          <w:sz w:val="24"/>
        </w:rPr>
        <w:t>PATENTS (7 Granted | 4 Pending)</w:t>
      </w:r>
    </w:p>
    <w:p>
      <w:pPr>
        <w:spacing w:before="0" w:after="40"/>
      </w:pPr>
      <w:r>
        <w:rPr>
          <w:b/>
          <w:i w:val="0"/>
          <w:sz w:val="20"/>
        </w:rPr>
        <w:t>Granted:</w:t>
      </w:r>
    </w:p>
    <w:p>
      <w:pPr>
        <w:pStyle w:val="ListBullet"/>
        <w:spacing w:before="0" w:after="40"/>
        <w:ind w:left="360"/>
      </w:pPr>
      <w:r>
        <w:rPr>
          <w:sz w:val="20"/>
        </w:rPr>
        <w:t>US 8,028,092 — Inserting Advertising Content (AOL, 2011)</w:t>
      </w:r>
    </w:p>
    <w:p>
      <w:pPr>
        <w:pStyle w:val="ListBullet"/>
        <w:spacing w:before="0" w:after="40"/>
        <w:ind w:left="360"/>
      </w:pPr>
      <w:r>
        <w:rPr>
          <w:sz w:val="20"/>
        </w:rPr>
        <w:t>US 8,762,575 — Inserting Advertising Content (Time Warner Cable, 2014)</w:t>
      </w:r>
    </w:p>
    <w:p>
      <w:pPr>
        <w:pStyle w:val="ListBullet"/>
        <w:spacing w:before="0" w:after="40"/>
        <w:ind w:left="360"/>
      </w:pPr>
      <w:r>
        <w:rPr>
          <w:sz w:val="20"/>
        </w:rPr>
        <w:t>US 8,769,151 — Adding Advertising Content to Media Content (Time Warner Cable, 2014)</w:t>
      </w:r>
    </w:p>
    <w:p>
      <w:pPr>
        <w:pStyle w:val="ListBullet"/>
        <w:spacing w:before="0" w:after="40"/>
        <w:ind w:left="360"/>
      </w:pPr>
      <w:r>
        <w:rPr>
          <w:sz w:val="20"/>
        </w:rPr>
        <w:t>US 10,375,452 — Apparatus and Methods for Thumbnail Generation (NBCUniversal, 2019)</w:t>
      </w:r>
    </w:p>
    <w:p>
      <w:pPr>
        <w:pStyle w:val="ListBullet"/>
        <w:spacing w:before="0" w:after="40"/>
        <w:ind w:left="360"/>
      </w:pPr>
      <w:r>
        <w:rPr>
          <w:sz w:val="20"/>
        </w:rPr>
        <w:t>US 10,667,018 — Asynchronous Workflows (NBCUniversal, 2020)</w:t>
      </w:r>
    </w:p>
    <w:p>
      <w:pPr>
        <w:pStyle w:val="ListBullet"/>
        <w:spacing w:before="0" w:after="40"/>
        <w:ind w:left="360"/>
      </w:pPr>
      <w:r>
        <w:rPr>
          <w:sz w:val="20"/>
        </w:rPr>
        <w:t>US 11,310,567 — Apparatus and Methods for Thumbnail Generation (Time Warner Cable, 2022)</w:t>
      </w:r>
    </w:p>
    <w:p>
      <w:pPr>
        <w:pStyle w:val="ListBullet"/>
        <w:spacing w:before="0" w:after="40"/>
        <w:ind w:left="360"/>
      </w:pPr>
      <w:r>
        <w:rPr>
          <w:sz w:val="20"/>
        </w:rPr>
        <w:t>US 12,382,148 — Apparatus and Methods for Thumbnail Generation (AOL, 2025)</w:t>
      </w:r>
    </w:p>
    <w:p>
      <w:pPr>
        <w:spacing w:before="0" w:after="40"/>
      </w:pPr>
      <w:r>
        <w:rPr>
          <w:b/>
          <w:i w:val="0"/>
          <w:sz w:val="20"/>
        </w:rPr>
        <w:t>Pending:</w:t>
      </w:r>
    </w:p>
    <w:p>
      <w:pPr>
        <w:pStyle w:val="ListBullet"/>
        <w:spacing w:before="0" w:after="40"/>
        <w:ind w:left="360"/>
      </w:pPr>
      <w:r>
        <w:rPr>
          <w:sz w:val="20"/>
        </w:rPr>
        <w:t>US 20,250,203,152 — Timed Metadata for Overlays (NBCUniversal, 2025)</w:t>
      </w:r>
    </w:p>
    <w:p>
      <w:pPr>
        <w:pStyle w:val="ListBullet"/>
        <w:spacing w:before="0" w:after="40"/>
        <w:ind w:left="360"/>
      </w:pPr>
      <w:r>
        <w:rPr>
          <w:sz w:val="20"/>
        </w:rPr>
        <w:t>US 20,240,430,496 — Dynamic In-Scene Secondary Content Insertion (NBCUniversal, 2024)</w:t>
      </w:r>
    </w:p>
    <w:p>
      <w:pPr>
        <w:pStyle w:val="ListBullet"/>
        <w:spacing w:before="0" w:after="40"/>
        <w:ind w:left="360"/>
      </w:pPr>
      <w:r>
        <w:rPr>
          <w:sz w:val="20"/>
        </w:rPr>
        <w:t>US 20,140,351,852 — Inserting Advertising Content (Facebook, 2014)</w:t>
      </w:r>
    </w:p>
    <w:p>
      <w:pPr>
        <w:pStyle w:val="ListBullet"/>
        <w:spacing w:before="0" w:after="40"/>
        <w:ind w:left="360"/>
      </w:pPr>
      <w:r>
        <w:rPr>
          <w:sz w:val="20"/>
        </w:rPr>
        <w:t>US 20,140,351,853 — Inserting Advertising Content (Facebook, 2014)</w:t>
      </w:r>
    </w:p>
    <w:p>
      <w:pPr>
        <w:spacing w:before="160" w:after="40"/>
        <w:pBdr>
          <w:bottom w:val="single" w:sz="6" w:space="1" w:color="888888"/>
        </w:pBdr>
      </w:pPr>
      <w:r>
        <w:rPr>
          <w:b/>
          <w:color w:val="1F3A5F"/>
          <w:sz w:val="24"/>
        </w:rPr>
        <w:t>AWARDS</w:t>
      </w:r>
    </w:p>
    <w:p>
      <w:pPr>
        <w:pStyle w:val="ListBullet"/>
        <w:spacing w:before="0" w:after="40"/>
        <w:ind w:left="360"/>
      </w:pPr>
      <w:r>
        <w:rPr>
          <w:sz w:val="20"/>
        </w:rPr>
        <w:t>Outstanding Interactive Experience Emmy Award (2025) — NBCUniversal, Paris 2024 Olympics; individually named Software Developer</w:t>
      </w:r>
    </w:p>
    <w:p>
      <w:pPr>
        <w:pStyle w:val="ListBullet"/>
        <w:spacing w:before="0" w:after="40"/>
        <w:ind w:left="360"/>
      </w:pPr>
      <w:r>
        <w:rPr>
          <w:sz w:val="20"/>
        </w:rPr>
        <w:t>Technology &amp; Engineering Emmy Award (2023) — NBCUniversal, Key Plays AI/ML sports highlights platform</w:t>
      </w:r>
    </w:p>
    <w:p>
      <w:pPr>
        <w:pStyle w:val="ListBullet"/>
        <w:spacing w:before="0" w:after="40"/>
        <w:ind w:left="360"/>
      </w:pPr>
      <w:r>
        <w:rPr>
          <w:sz w:val="20"/>
        </w:rPr>
        <w:t>Emmy Award (2014) — Time Warner Cable, TWCTV Application (OTT innovation)</w:t>
      </w:r>
    </w:p>
    <w:p>
      <w:pPr>
        <w:pStyle w:val="ListBullet"/>
        <w:spacing w:before="0" w:after="40"/>
        <w:ind w:left="360"/>
      </w:pPr>
      <w:r>
        <w:rPr>
          <w:sz w:val="20"/>
        </w:rPr>
        <w:t>Emmy Award (2005) — AOL, Live 8 Concert (world-record concurrent live streaming)</w:t>
      </w:r>
    </w:p>
    <w:p>
      <w:pPr>
        <w:spacing w:before="160" w:after="40"/>
        <w:pBdr>
          <w:bottom w:val="single" w:sz="6" w:space="1" w:color="888888"/>
        </w:pBdr>
      </w:pPr>
      <w:r>
        <w:rPr>
          <w:b/>
          <w:color w:val="1F3A5F"/>
          <w:sz w:val="24"/>
        </w:rPr>
        <w:t>PROFESSIONAL AFFILIATIONS</w:t>
      </w:r>
    </w:p>
    <w:p>
      <w:pPr>
        <w:pStyle w:val="ListBullet"/>
        <w:spacing w:before="0" w:after="40"/>
        <w:ind w:left="360"/>
      </w:pPr>
      <w:r>
        <w:rPr>
          <w:sz w:val="20"/>
        </w:rPr>
        <w:t>Television Academy — Science and Technology Peer Group Member</w:t>
      </w:r>
    </w:p>
    <w:p>
      <w:pPr>
        <w:spacing w:before="160" w:after="40"/>
        <w:pBdr>
          <w:bottom w:val="single" w:sz="6" w:space="1" w:color="888888"/>
        </w:pBdr>
      </w:pPr>
      <w:r>
        <w:rPr>
          <w:b/>
          <w:color w:val="1F3A5F"/>
          <w:sz w:val="24"/>
        </w:rPr>
        <w:t>EDUCATION</w:t>
      </w:r>
    </w:p>
    <w:p>
      <w:pPr>
        <w:spacing w:before="0" w:after="40"/>
      </w:pPr>
      <w:r>
        <w:rPr>
          <w:b w:val="0"/>
          <w:i w:val="0"/>
          <w:sz w:val="20"/>
        </w:rPr>
        <w:t>University of Maryland, College Park | 1990 – 1994</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