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796518dbfa49edf03ef4ecbb5647d124c8f6b0"/>
    <w:p>
      <w:pPr>
        <w:pStyle w:val="Heading1"/>
      </w:pPr>
      <w:r>
        <w:t xml:space="preserve">Referat – Statusmøte med Trøndelag brann- og redningstjeneste (TBRT)</w:t>
      </w:r>
    </w:p>
    <w:p>
      <w:pPr>
        <w:pStyle w:val="FirstParagraph"/>
      </w:pPr>
      <w:r>
        <w:rPr>
          <w:bCs/>
          <w:b/>
        </w:rPr>
        <w:t xml:space="preserve">Dato:</w:t>
      </w:r>
      <w:r>
        <w:t xml:space="preserve"> </w:t>
      </w:r>
      <w:r>
        <w:t xml:space="preserve">11. juni 2026 kl 10:30</w:t>
      </w:r>
      <w:r>
        <w:t xml:space="preserve"> </w:t>
      </w:r>
      <w:r>
        <w:rPr>
          <w:bCs/>
          <w:b/>
        </w:rPr>
        <w:t xml:space="preserve">Sted:</w:t>
      </w:r>
      <w:r>
        <w:t xml:space="preserve"> </w:t>
      </w:r>
      <w:r>
        <w:t xml:space="preserve">Sluppenvegen 18, 7037 Trondheim</w:t>
      </w:r>
      <w:r>
        <w:t xml:space="preserve"> </w:t>
      </w:r>
      <w:r>
        <w:rPr>
          <w:bCs/>
          <w:b/>
        </w:rPr>
        <w:t xml:space="preserve">Sak:</w:t>
      </w:r>
      <w:r>
        <w:t xml:space="preserve"> </w:t>
      </w:r>
      <w:r>
        <w:t xml:space="preserve">24/1007</w:t>
      </w:r>
    </w:p>
    <w:bookmarkStart w:id="20" w:name="til-stede"/>
    <w:p>
      <w:pPr>
        <w:pStyle w:val="Heading2"/>
      </w:pPr>
      <w:r>
        <w:t xml:space="preserve">Til stede</w:t>
      </w:r>
    </w:p>
    <w:p>
      <w:pPr>
        <w:pStyle w:val="FirstParagraph"/>
      </w:pPr>
      <w:r>
        <w:rPr>
          <w:bCs/>
          <w:b/>
        </w:rPr>
        <w:t xml:space="preserve">KodeWorks Eiendom AS:</w:t>
      </w:r>
      <w:r>
        <w:t xml:space="preserve"> </w:t>
      </w:r>
      <w:r>
        <w:t xml:space="preserve">- Eirik Larsen (prosjekteier)</w:t>
      </w:r>
    </w:p>
    <w:p>
      <w:pPr>
        <w:pStyle w:val="BodyText"/>
      </w:pPr>
      <w:r>
        <w:rPr>
          <w:bCs/>
          <w:b/>
        </w:rPr>
        <w:t xml:space="preserve">HRP AS:</w:t>
      </w:r>
      <w:r>
        <w:t xml:space="preserve"> </w:t>
      </w:r>
      <w:r>
        <w:t xml:space="preserve">- Ole Morten Lagmannsveen (rådgivende ingeniør bygg)</w:t>
      </w:r>
    </w:p>
    <w:p>
      <w:pPr>
        <w:pStyle w:val="BodyText"/>
      </w:pPr>
      <w:r>
        <w:rPr>
          <w:bCs/>
          <w:b/>
        </w:rPr>
        <w:t xml:space="preserve">Trøndelag brann- og redningstjeneste (TBRT):</w:t>
      </w:r>
      <w:r>
        <w:t xml:space="preserve"> </w:t>
      </w:r>
      <w:r>
        <w:t xml:space="preserve">- Anna-Karin Hermansen (leder forebyggende)</w:t>
      </w:r>
      <w:r>
        <w:t xml:space="preserve"> </w:t>
      </w:r>
      <w:r>
        <w:t xml:space="preserve">- Tove-Kristin Reitan (juridisk rådgiver)</w:t>
      </w:r>
      <w:r>
        <w:t xml:space="preserve"> </w:t>
      </w:r>
      <w:r>
        <w:t xml:space="preserve">- Morten Knutsen (saksansvarlig)</w:t>
      </w:r>
    </w:p>
    <w:p>
      <w:r>
        <w:pict>
          <v:rect style="width:0;height:1.5pt" o:hralign="center" o:hrstd="t" o:hr="t"/>
        </w:pict>
      </w:r>
    </w:p>
    <w:bookmarkEnd w:id="20"/>
    <w:bookmarkStart w:id="21" w:name="agenda"/>
    <w:p>
      <w:pPr>
        <w:pStyle w:val="Heading2"/>
      </w:pPr>
      <w:r>
        <w:t xml:space="preserve">Agenda</w:t>
      </w:r>
    </w:p>
    <w:p>
      <w:pPr>
        <w:numPr>
          <w:ilvl w:val="0"/>
          <w:numId w:val="1001"/>
        </w:numPr>
        <w:pStyle w:val="Compact"/>
      </w:pPr>
      <w:r>
        <w:t xml:space="preserve">Status på eksisterende pålegg og avvik</w:t>
      </w:r>
    </w:p>
    <w:p>
      <w:pPr>
        <w:numPr>
          <w:ilvl w:val="0"/>
          <w:numId w:val="1001"/>
        </w:numPr>
        <w:pStyle w:val="Compact"/>
      </w:pPr>
      <w:r>
        <w:t xml:space="preserve">Status på bygget og veien videre</w:t>
      </w:r>
    </w:p>
    <w:p>
      <w:pPr>
        <w:numPr>
          <w:ilvl w:val="0"/>
          <w:numId w:val="1001"/>
        </w:numPr>
        <w:pStyle w:val="Compact"/>
      </w:pPr>
      <w:r>
        <w:t xml:space="preserve">Tvangsmulkt – strategi og muligheter</w:t>
      </w:r>
    </w:p>
    <w:p>
      <w:r>
        <w:pict>
          <v:rect style="width:0;height:1.5pt" o:hralign="center" o:hrstd="t" o:hr="t"/>
        </w:pict>
      </w:r>
    </w:p>
    <w:bookmarkEnd w:id="21"/>
    <w:bookmarkStart w:id="25" w:name="status-på-pålegg-og-avvik"/>
    <w:p>
      <w:pPr>
        <w:pStyle w:val="Heading2"/>
      </w:pPr>
      <w:r>
        <w:t xml:space="preserve">1. Status på pålegg og avvik</w:t>
      </w:r>
    </w:p>
    <w:p>
      <w:pPr>
        <w:pStyle w:val="FirstParagraph"/>
      </w:pPr>
      <w:r>
        <w:t xml:space="preserve">Eirik gjennomgikk tre hovedavvik fra pålegget datert 08.11.2024.</w:t>
      </w:r>
    </w:p>
    <w:bookmarkStart w:id="22" w:name="avvik-1-brannsikkerhetsnivå"/>
    <w:p>
      <w:pPr>
        <w:pStyle w:val="Heading3"/>
      </w:pPr>
      <w:r>
        <w:t xml:space="preserve">Avvik 1 – Brannsikkerhetsnivå</w:t>
      </w:r>
    </w:p>
    <w:p>
      <w:pPr>
        <w:pStyle w:val="FirstParagraph"/>
      </w:pPr>
      <w:r>
        <w:rPr>
          <w:bCs/>
          <w:b/>
        </w:rPr>
        <w:t xml:space="preserve">Belysning og merkning av rømningsveier:</w:t>
      </w:r>
      <w:r>
        <w:t xml:space="preserve"> </w:t>
      </w:r>
      <w:r>
        <w:t xml:space="preserve">KodeWorks mener dette er utbedret. Dokumentasjon kan mangle. Avviket er dessuten i ferd med å bli irrelevant ettersom driften av bygget avvikles.</w:t>
      </w:r>
    </w:p>
    <w:p>
      <w:pPr>
        <w:pStyle w:val="BodyText"/>
      </w:pPr>
      <w:r>
        <w:rPr>
          <w:bCs/>
          <w:b/>
        </w:rPr>
        <w:t xml:space="preserve">Branncelleinndeling:</w:t>
      </w:r>
      <w:r>
        <w:t xml:space="preserve"> </w:t>
      </w:r>
      <w:r>
        <w:t xml:space="preserve">Hele bygget utgjør i dag én branncelle. Dette kan ikke utbedres uten full rehabilitering. Rammesøknaden (levert 12. mai 2026) legger opp til fire brannceller i det ferdige bygget.</w:t>
      </w:r>
    </w:p>
    <w:p>
      <w:pPr>
        <w:pStyle w:val="BodyText"/>
      </w:pPr>
      <w:r>
        <w:rPr>
          <w:bCs/>
          <w:b/>
        </w:rPr>
        <w:t xml:space="preserve">Sprinkler:</w:t>
      </w:r>
      <w:r>
        <w:t xml:space="preserve"> </w:t>
      </w:r>
      <w:r>
        <w:t xml:space="preserve">- Etasje 3–5 plukkes ned og reetableres i sin helhet som del av rehabiliteringen. Det gir ikke mening å installere sprinkler i etasjer som skal bort.</w:t>
      </w:r>
      <w:r>
        <w:t xml:space="preserve"> </w:t>
      </w:r>
      <w:r>
        <w:t xml:space="preserve">- Eksisterende påkoblingssprinkler i 1.–2. etasje og kjeller er delvis blokkert av innredning. Det gir heller ikke mening å oppgradere dette til et annet anlegg nå, da veggstruktur og planløsning vil endre seg i løpet av byggefasen.</w:t>
      </w:r>
      <w:r>
        <w:t xml:space="preserve"> </w:t>
      </w:r>
      <w:r>
        <w:t xml:space="preserve">- KodeWorks har sendt TBRT en brannsikringsplan for byggefasen som beskriver konkrete tiltak for brannsikring under riving og ombygging.</w:t>
      </w:r>
    </w:p>
    <w:p>
      <w:pPr>
        <w:pStyle w:val="BodyText"/>
      </w:pPr>
      <w:r>
        <w:t xml:space="preserve">TBRT presiserte at krav om fullsprinklet bygg gjelder uavhengig av om bygget er i bruk eller ikke. KodeWorks bekreftet å ha forstått dette, men understreket at full sprinklerinstallasjon ikke er praktisk mulig i en riving- og byggefase.</w:t>
      </w:r>
    </w:p>
    <w:bookmarkEnd w:id="22"/>
    <w:bookmarkStart w:id="23" w:name="avvik-2-systematisk-sikkerhetsarbeid"/>
    <w:p>
      <w:pPr>
        <w:pStyle w:val="Heading3"/>
      </w:pPr>
      <w:r>
        <w:t xml:space="preserve">Avvik 2 – Systematisk sikkerhetsarbeid</w:t>
      </w:r>
    </w:p>
    <w:p>
      <w:pPr>
        <w:pStyle w:val="FirstParagraph"/>
      </w:pPr>
      <w:r>
        <w:t xml:space="preserve">Sikkerhetsarbeid er gjennomført og vil erstattes av brannsikringsregimet som gjelder for byggefasen (beskrevet i HRPs brannsikringsplan). Det er rutiner for hvem som er i bygget til enhver tid, og hvordan evakuering skal skje.</w:t>
      </w:r>
    </w:p>
    <w:bookmarkEnd w:id="23"/>
    <w:bookmarkStart w:id="24" w:name="avvik-3-kontroll-og-vedlikehold"/>
    <w:p>
      <w:pPr>
        <w:pStyle w:val="Heading3"/>
      </w:pPr>
      <w:r>
        <w:t xml:space="preserve">Avvik 3 – Kontroll og vedlikehold</w:t>
      </w:r>
    </w:p>
    <w:p>
      <w:pPr>
        <w:pStyle w:val="FirstParagraph"/>
      </w:pPr>
      <w:r>
        <w:t xml:space="preserve">Eksisterende anlegg fases ut og erstattes av nytt i henhold til brannkonseptet for det ferdige bygget. Varslingsanlegget i kjelleren ble nylig kontrollert av Autronika og Rambøll, som begge godkjente det som fullgodt for branndeteksjon.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tatus-på-bygget"/>
    <w:p>
      <w:pPr>
        <w:pStyle w:val="Heading2"/>
      </w:pPr>
      <w:r>
        <w:t xml:space="preserve">2. Status på bygget</w:t>
      </w:r>
    </w:p>
    <w:bookmarkStart w:id="26" w:name="avvikling-av-drift"/>
    <w:p>
      <w:pPr>
        <w:pStyle w:val="Heading3"/>
      </w:pPr>
      <w:r>
        <w:t xml:space="preserve">Avvikling av drift</w:t>
      </w:r>
    </w:p>
    <w:p>
      <w:pPr>
        <w:pStyle w:val="FirstParagraph"/>
      </w:pPr>
      <w:r>
        <w:t xml:space="preserve">Følgende leietakere og brukere er ute eller varslet ut: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Trondheim by Boat:</w:t>
      </w:r>
      <w:r>
        <w:t xml:space="preserve"> </w:t>
      </w:r>
      <w:r>
        <w:t xml:space="preserve">Ute av kjelleren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Garnbutikk:</w:t>
      </w:r>
      <w:r>
        <w:t xml:space="preserve"> </w:t>
      </w:r>
      <w:r>
        <w:t xml:space="preserve">Opphørt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Butikk mot gata:</w:t>
      </w:r>
      <w:r>
        <w:t xml:space="preserve"> </w:t>
      </w:r>
      <w:r>
        <w:t xml:space="preserve">Opphørt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Minilager-kunder:</w:t>
      </w:r>
      <w:r>
        <w:t xml:space="preserve"> </w:t>
      </w:r>
      <w:r>
        <w:t xml:space="preserve">14 lagersceller. Alle varslet om utflytting innen 1. juli 2026, 4 celler klarer ikke flytte før 1. august.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KodeWorks (1. etasje):</w:t>
      </w:r>
      <w:r>
        <w:t xml:space="preserve"> </w:t>
      </w:r>
      <w:r>
        <w:t xml:space="preserve">Flytter ut innen 1. juli 2026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Spillklubb (2. etasje):</w:t>
      </w:r>
      <w:r>
        <w:t xml:space="preserve"> </w:t>
      </w:r>
      <w:r>
        <w:t xml:space="preserve">Flytter ut innen 1. aug 2026.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Kontorleietaker (2. etasje mot FG32):</w:t>
      </w:r>
      <w:r>
        <w:t xml:space="preserve"> </w:t>
      </w:r>
      <w:r>
        <w:t xml:space="preserve">Flytter ut innen 1. aug 2026.</w:t>
      </w:r>
    </w:p>
    <w:p>
      <w:pPr>
        <w:pStyle w:val="BodyText"/>
      </w:pPr>
      <w:r>
        <w:t xml:space="preserve">Bygget vil etter 1. juli 2026 ikke lenger ha ordinær drift.</w:t>
      </w:r>
    </w:p>
    <w:bookmarkEnd w:id="26"/>
    <w:bookmarkStart w:id="27" w:name="rammesøknad"/>
    <w:p>
      <w:pPr>
        <w:pStyle w:val="Heading3"/>
      </w:pPr>
      <w:r>
        <w:t xml:space="preserve">Rammesøknad</w:t>
      </w:r>
    </w:p>
    <w:p>
      <w:pPr>
        <w:pStyle w:val="FirstParagraph"/>
      </w:pPr>
      <w:r>
        <w:t xml:space="preserve">Rammesøknad for ombygging til minilager ble levert 12. mai 2026. TBRT hadde ikke mottatt kopi. Eirik bekreftet å sende kopi umiddelbart etter møtet.</w:t>
      </w:r>
    </w:p>
    <w:p>
      <w:pPr>
        <w:pStyle w:val="BodyText"/>
      </w:pPr>
      <w:r>
        <w:t xml:space="preserve">Søknaden er betydelig enklere enn den tidligere kontor-søknaden og gjenbruker mye av eksisterende dokumentasjon. God dialog med Plan og Bygg – ingen forventede overraskelser i behandlingen.</w:t>
      </w:r>
    </w:p>
    <w:bookmarkEnd w:id="27"/>
    <w:bookmarkStart w:id="28" w:name="igangsettingssøknad-ig"/>
    <w:p>
      <w:pPr>
        <w:pStyle w:val="Heading3"/>
      </w:pPr>
      <w:r>
        <w:t xml:space="preserve">Igangsettingssøknad (IG)</w:t>
      </w:r>
    </w:p>
    <w:p>
      <w:pPr>
        <w:pStyle w:val="FirstParagraph"/>
      </w:pPr>
      <w:r>
        <w:t xml:space="preserve">IG planlegges sendt inn umiddelbart etter at rammesøknad er behandlet. Behandlingstid ca. 3 uker. Entreprenør er klar til å starte så fort IG foreligger.</w:t>
      </w:r>
    </w:p>
    <w:bookmarkEnd w:id="28"/>
    <w:bookmarkStart w:id="29" w:name="byggetid"/>
    <w:p>
      <w:pPr>
        <w:pStyle w:val="Heading3"/>
      </w:pPr>
      <w:r>
        <w:t xml:space="preserve">Byggetid</w:t>
      </w:r>
    </w:p>
    <w:p>
      <w:pPr>
        <w:pStyle w:val="FirstParagraph"/>
      </w:pPr>
      <w:r>
        <w:t xml:space="preserve">Estimert byggetid: 12–18 måneder. Usikkerhet knyttet til kjeller (avhenger av behov for spunting). RG Søpstad bistår med betongentreprenør-vurdering.</w:t>
      </w:r>
    </w:p>
    <w:bookmarkEnd w:id="29"/>
    <w:bookmarkStart w:id="30" w:name="selskapsstruktur"/>
    <w:p>
      <w:pPr>
        <w:pStyle w:val="Heading3"/>
      </w:pPr>
      <w:r>
        <w:t xml:space="preserve">Selskapsstruktur</w:t>
      </w:r>
    </w:p>
    <w:p>
      <w:pPr>
        <w:pStyle w:val="FirstParagraph"/>
      </w:pPr>
      <w:r>
        <w:t xml:space="preserve">KodeWorks Eiendom AS fisjoneres i to selskaper: ett for Grønnegata 10 og ett for Fjordgata 30. Kristian Brandsegg og Ole Morten Lagmannsveen går inn på eiersiden i Fjordgata 30-selskapet. TBRT ba om å bli informert om hvem som er tiltakshaver, da dette har betydning for byggesaken.</w:t>
      </w:r>
    </w:p>
    <w:bookmarkEnd w:id="30"/>
    <w:bookmarkStart w:id="31" w:name="støtte-og-finansiering"/>
    <w:p>
      <w:pPr>
        <w:pStyle w:val="Heading3"/>
      </w:pPr>
      <w:r>
        <w:t xml:space="preserve">Støtte og finansiering</w:t>
      </w:r>
    </w:p>
    <w:p>
      <w:pPr>
        <w:pStyle w:val="FirstParagraph"/>
      </w:pPr>
      <w:r>
        <w:t xml:space="preserve">KodeWorks har mottatt:</w:t>
      </w:r>
      <w:r>
        <w:t xml:space="preserve"> </w:t>
      </w:r>
      <w:r>
        <w:t xml:space="preserve">- 500 000 kr fra Enova (energikartlegging)</w:t>
      </w:r>
      <w:r>
        <w:t xml:space="preserve"> </w:t>
      </w:r>
      <w:r>
        <w:t xml:space="preserve">- 400 000 kr fra Enova (ombrukskartlegging)</w:t>
      </w:r>
    </w:p>
    <w:p>
      <w:pPr>
        <w:pStyle w:val="BodyText"/>
      </w:pPr>
      <w:r>
        <w:t xml:space="preserve">Planlagte søknader:</w:t>
      </w:r>
      <w:r>
        <w:t xml:space="preserve"> </w:t>
      </w:r>
      <w:r>
        <w:t xml:space="preserve">- Skattefunn (innovasjon/forskning i rehabilitering av verneverdig bygg)</w:t>
      </w:r>
      <w:r>
        <w:t xml:space="preserve"> </w:t>
      </w:r>
      <w:r>
        <w:t xml:space="preserve">- Enova-støtte til energioptimalisering basert på energikartleggingsrapporten (HRP)</w:t>
      </w:r>
    </w:p>
    <w:p>
      <w:pPr>
        <w:pStyle w:val="BodyText"/>
      </w:pPr>
      <w:r>
        <w:t xml:space="preserve">HRP og SAHAA venter på betaling. Eirik orienterte om at betaling av leverandørene prioriteres fremfor tvangsmulkten, for å sikre at prosjektet ikke stopper.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vangsmulkt"/>
    <w:p>
      <w:pPr>
        <w:pStyle w:val="Heading2"/>
      </w:pPr>
      <w:r>
        <w:t xml:space="preserve">3. Tvangsmulkt</w:t>
      </w:r>
    </w:p>
    <w:bookmarkStart w:id="33" w:name="tbrts-vurdering"/>
    <w:p>
      <w:pPr>
        <w:pStyle w:val="Heading3"/>
      </w:pPr>
      <w:r>
        <w:t xml:space="preserve">TBRTs vurdering</w:t>
      </w:r>
    </w:p>
    <w:p>
      <w:pPr>
        <w:pStyle w:val="FirstParagraph"/>
      </w:pPr>
      <w:r>
        <w:t xml:space="preserve">TBRT understreket at selve pålegget ikke er oppfylt og ikke vil være oppfylt før bygget er ferdigstilt. Det er dermed ikke grunnlag for å frafalle vedtaket om tvangsmulkt.</w:t>
      </w:r>
    </w:p>
    <w:p>
      <w:pPr>
        <w:pStyle w:val="BodyText"/>
      </w:pPr>
      <w:r>
        <w:rPr>
          <w:bCs/>
          <w:b/>
        </w:rPr>
        <w:t xml:space="preserve">TBRT har imidlertid mulighet til å sette løpende innkreving i bero</w:t>
      </w:r>
      <w:r>
        <w:t xml:space="preserve"> </w:t>
      </w:r>
      <w:r>
        <w:t xml:space="preserve">(«pause») dersom det foreligger tilstrekkelig dokumentasjon på at prosjektet er troverdig og fremdriften er reell. Rammesøknadens innlevering er ett av de viktigste argumentene for dette.</w:t>
      </w:r>
    </w:p>
    <w:bookmarkEnd w:id="33"/>
    <w:bookmarkStart w:id="34" w:name="frafall-og-klage"/>
    <w:p>
      <w:pPr>
        <w:pStyle w:val="Heading3"/>
      </w:pPr>
      <w:r>
        <w:t xml:space="preserve">Frafall og klage</w:t>
      </w:r>
    </w:p>
    <w:p>
      <w:pPr>
        <w:numPr>
          <w:ilvl w:val="0"/>
          <w:numId w:val="1002"/>
        </w:numPr>
        <w:pStyle w:val="Compact"/>
      </w:pPr>
      <w:r>
        <w:t xml:space="preserve">Frafall av tvangsmulkt besluttes av DSB (Direktoratet for samfunnssikkerhet og beredskap), ikke TBRT. TBRT kan kun sende innstilling.</w:t>
      </w:r>
    </w:p>
    <w:p>
      <w:pPr>
        <w:numPr>
          <w:ilvl w:val="0"/>
          <w:numId w:val="1002"/>
        </w:numPr>
        <w:pStyle w:val="Compact"/>
      </w:pPr>
      <w:r>
        <w:t xml:space="preserve">KodeWorks kan sende anmodning om ettergivelse til DSB, men dette behandles sannsynligvis ikke før prosjektet er fullført (om 2–3 år).</w:t>
      </w:r>
    </w:p>
    <w:p>
      <w:pPr>
        <w:numPr>
          <w:ilvl w:val="0"/>
          <w:numId w:val="1002"/>
        </w:numPr>
        <w:pStyle w:val="Compact"/>
      </w:pPr>
      <w:r>
        <w:t xml:space="preserve">Fristen for å klage på 1. og 2. gangs innkreving er utløpt.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TBRT anbefaler å klage på 3. gangs innkreving</w:t>
      </w:r>
      <w:r>
        <w:t xml:space="preserve"> </w:t>
      </w:r>
      <w:r>
        <w:t xml:space="preserve">(perioden 15.04.–31.05.2026, 94 000 kr). Klagen vil med stor sannsynlighet bli avvist på sak, men innkrevingen settes på pause mens klagen behandles – dette kjøper tid.</w:t>
      </w:r>
    </w:p>
    <w:p>
      <w:pPr>
        <w:numPr>
          <w:ilvl w:val="0"/>
          <w:numId w:val="1002"/>
        </w:numPr>
        <w:pStyle w:val="Compact"/>
      </w:pPr>
      <w:r>
        <w:t xml:space="preserve">Dersom innkrevingen sendes til namsmyndighetene og KodeWorks ikke betaler, kan det i verste fall føre til tvangsdekning / konkursrisiko. Det er ikke i TBRTs interesse.</w:t>
      </w:r>
    </w:p>
    <w:bookmarkEnd w:id="34"/>
    <w:bookmarkStart w:id="35" w:name="konklusjon-om-tvangsmulkt"/>
    <w:p>
      <w:pPr>
        <w:pStyle w:val="Heading3"/>
      </w:pPr>
      <w:r>
        <w:t xml:space="preserve">Konklusjon om tvangsmulkt</w:t>
      </w:r>
    </w:p>
    <w:p>
      <w:pPr>
        <w:pStyle w:val="FirstParagraph"/>
      </w:pPr>
      <w:r>
        <w:t xml:space="preserve">TBRT signaliserte at de vil se på muligheten til å sette videre innkreving i bero, forutsatt at KodeWorks leverer dokumentasjonen nevnt under punkt 4. TBRT vil ikke sende ut nye fakturaer inntil dokumentasjonen er mottatt og vurdert.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okumentasjon-kodeworks-skal-levere"/>
    <w:p>
      <w:pPr>
        <w:pStyle w:val="Heading2"/>
      </w:pPr>
      <w:r>
        <w:t xml:space="preserve">4. Dokumentasjon KodeWorks skal levere</w:t>
      </w:r>
    </w:p>
    <w:p>
      <w:pPr>
        <w:pStyle w:val="FirstParagraph"/>
      </w:pPr>
      <w:r>
        <w:t xml:space="preserve">TBRT ba om følgende dokumentasjon innen neste uke (ca. 18. juni 2026):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Kopi av rammesøknad</w:t>
      </w:r>
      <w:r>
        <w:t xml:space="preserve"> </w:t>
      </w:r>
      <w:r>
        <w:t xml:space="preserve">(minilager, levert 12. mai 2026)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Skriftlig bekreftelse på avvikling av drift</w:t>
      </w:r>
      <w:r>
        <w:t xml:space="preserve"> </w:t>
      </w:r>
      <w:r>
        <w:t xml:space="preserve">– beskriver at alle leietakere er varslet og at driften opphører 1. juli 2026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Bekreftelse på at brannsikringsplan for byggefasen er i aktiv bruk nå</w:t>
      </w:r>
      <w:r>
        <w:t xml:space="preserve"> </w:t>
      </w:r>
      <w:r>
        <w:t xml:space="preserve">– ikke kun et plandokument, men bekreftet innarbeidet i gjennomføringen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Estimert framdriftsplan</w:t>
      </w:r>
      <w:r>
        <w:t xml:space="preserve"> </w:t>
      </w:r>
      <w:r>
        <w:t xml:space="preserve">– med milepæler, særlig 1. august (driftsavvikling komplett) og estimert IG og byggestart</w:t>
      </w:r>
    </w:p>
    <w:p>
      <w:r>
        <w:pict>
          <v:rect style="width:0;height:1.5pt" o:hralign="center" o:hrstd="t" o:hr="t"/>
        </w:pict>
      </w:r>
    </w:p>
    <w:bookmarkEnd w:id="37"/>
    <w:bookmarkStart w:id="38" w:name="oppsummering-og-enighet"/>
    <w:p>
      <w:pPr>
        <w:pStyle w:val="Heading2"/>
      </w:pPr>
      <w:r>
        <w:t xml:space="preserve">5. Oppsummering og enighet</w:t>
      </w:r>
    </w:p>
    <w:p>
      <w:pPr>
        <w:numPr>
          <w:ilvl w:val="0"/>
          <w:numId w:val="1004"/>
        </w:numPr>
        <w:pStyle w:val="Compact"/>
      </w:pPr>
      <w:r>
        <w:t xml:space="preserve">KodeWorks sender dokumentasjon ovenfor innen ca. 18. juni 2026</w:t>
      </w:r>
    </w:p>
    <w:p>
      <w:pPr>
        <w:numPr>
          <w:ilvl w:val="0"/>
          <w:numId w:val="1004"/>
        </w:numPr>
        <w:pStyle w:val="Compact"/>
      </w:pPr>
      <w:r>
        <w:t xml:space="preserve">TBRT holder tilbake nye innkrevinger mens dokumentasjonen vurderes</w:t>
      </w:r>
    </w:p>
    <w:p>
      <w:pPr>
        <w:numPr>
          <w:ilvl w:val="0"/>
          <w:numId w:val="1004"/>
        </w:numPr>
        <w:pStyle w:val="Compact"/>
      </w:pPr>
      <w:r>
        <w:t xml:space="preserve">TBRT vil vurdere å sette løpende innkreving i bero</w:t>
      </w:r>
    </w:p>
    <w:p>
      <w:pPr>
        <w:numPr>
          <w:ilvl w:val="0"/>
          <w:numId w:val="1004"/>
        </w:numPr>
        <w:pStyle w:val="Compact"/>
      </w:pPr>
      <w:r>
        <w:t xml:space="preserve">KodeWorks vurderer å klage på 3. gangs innkreving for å kjøpe tid</w:t>
      </w:r>
    </w:p>
    <w:p>
      <w:pPr>
        <w:numPr>
          <w:ilvl w:val="0"/>
          <w:numId w:val="1004"/>
        </w:numPr>
        <w:pStyle w:val="Compact"/>
      </w:pPr>
      <w:r>
        <w:t xml:space="preserve">Partene er enige om å jobbe konstruktivt fremover og at god dialog er viktig for å komme i mål med brannsikkerheten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2026-06-17T14:34:31Z</dcterms:created>
  <dcterms:modified xsi:type="dcterms:W3CDTF">2026-06-17T14:34:31Z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