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Klage</w:t>
      </w:r>
      <w:r>
        <w:t xml:space="preserve"> </w:t>
      </w:r>
      <w:r>
        <w:t xml:space="preserve">på</w:t>
      </w:r>
      <w:r>
        <w:t xml:space="preserve"> </w:t>
      </w:r>
      <w:r>
        <w:t xml:space="preserve">innkreving</w:t>
      </w:r>
      <w:r>
        <w:t xml:space="preserve"> </w:t>
      </w:r>
      <w:r>
        <w:t xml:space="preserve">av</w:t>
      </w:r>
      <w:r>
        <w:t xml:space="preserve"> </w:t>
      </w:r>
      <w:r>
        <w:t xml:space="preserve">tvangsmulkt</w:t>
      </w:r>
      <w:r>
        <w:t xml:space="preserve"> </w:t>
      </w:r>
      <w:r>
        <w:t xml:space="preserve">–</w:t>
      </w:r>
      <w:r>
        <w:t xml:space="preserve"> </w:t>
      </w:r>
      <w:r>
        <w:t xml:space="preserve">Fjordgata</w:t>
      </w:r>
      <w:r>
        <w:t xml:space="preserve"> </w:t>
      </w:r>
      <w:r>
        <w:t xml:space="preserve">30</w:t>
      </w:r>
      <w:r>
        <w:t xml:space="preserve"> </w:t>
      </w:r>
      <w:r>
        <w:t xml:space="preserve">–</w:t>
      </w:r>
      <w:r>
        <w:t xml:space="preserve"> </w:t>
      </w:r>
      <w:r>
        <w:t xml:space="preserve">sak</w:t>
      </w:r>
      <w:r>
        <w:t xml:space="preserve"> </w:t>
      </w:r>
      <w:r>
        <w:t xml:space="preserve">24/1007</w:t>
      </w:r>
    </w:p>
    <w:p>
      <w:pPr>
        <w:pStyle w:val="Date"/>
      </w:pPr>
      <w:r>
        <w:t xml:space="preserve">17.</w:t>
      </w:r>
      <w:r>
        <w:t xml:space="preserve"> </w:t>
      </w:r>
      <w:r>
        <w:t xml:space="preserve">juni</w:t>
      </w:r>
      <w:r>
        <w:t xml:space="preserve"> </w:t>
      </w:r>
      <w:r>
        <w:t xml:space="preserve">2026</w:t>
      </w:r>
    </w:p>
    <w:p>
      <w:pPr>
        <w:pStyle w:val="FirstParagraph"/>
      </w:pPr>
      <w:r>
        <w:rPr>
          <w:bCs/>
          <w:b/>
        </w:rPr>
        <w:t xml:space="preserve">Til:</w:t>
      </w:r>
      <w:r>
        <w:br/>
      </w:r>
      <w:r>
        <w:t xml:space="preserve">Trøndelag brann- og redningstjeneste IKS</w:t>
      </w:r>
      <w:r>
        <w:br/>
      </w:r>
      <w:r>
        <w:t xml:space="preserve">Sluppenvegen 18</w:t>
      </w:r>
      <w:r>
        <w:br/>
      </w:r>
      <w:r>
        <w:t xml:space="preserve">7037 Trondheim</w:t>
      </w:r>
      <w:r>
        <w:br/>
      </w:r>
      <w:r>
        <w:t xml:space="preserve">postmottak@tbrt.no</w:t>
      </w:r>
    </w:p>
    <w:p>
      <w:pPr>
        <w:pStyle w:val="BodyText"/>
      </w:pPr>
      <w:r>
        <w:rPr>
          <w:bCs/>
          <w:b/>
        </w:rPr>
        <w:t xml:space="preserve">Fra:</w:t>
      </w:r>
      <w:r>
        <w:br/>
      </w:r>
      <w:r>
        <w:t xml:space="preserve">Kodeworks Eiendom AS</w:t>
      </w:r>
      <w:r>
        <w:br/>
      </w:r>
      <w:r>
        <w:t xml:space="preserve">Fjordgata 30, 7010 Trondheim</w:t>
      </w:r>
      <w:r>
        <w:br/>
      </w:r>
      <w:r>
        <w:t xml:space="preserve">Org.nr. 920 478 506</w:t>
      </w:r>
      <w:r>
        <w:br/>
      </w:r>
      <w:r>
        <w:t xml:space="preserve">v/ Eirik Larsen, eirik.larsen@kodeworks.no, tlf. 416 70 269</w:t>
      </w:r>
    </w:p>
    <w:p>
      <w:pPr>
        <w:pStyle w:val="BodyText"/>
      </w:pPr>
      <w:r>
        <w:rPr>
          <w:bCs/>
          <w:b/>
        </w:rPr>
        <w:t xml:space="preserve">Dato:</w:t>
      </w:r>
      <w:r>
        <w:t xml:space="preserve"> </w:t>
      </w:r>
      <w:r>
        <w:t xml:space="preserve">17. juni 2026</w:t>
      </w:r>
      <w:r>
        <w:br/>
      </w:r>
      <w:r>
        <w:rPr>
          <w:bCs/>
          <w:b/>
        </w:rPr>
        <w:t xml:space="preserve">Gjelder:</w:t>
      </w:r>
      <w:r>
        <w:t xml:space="preserve"> </w:t>
      </w:r>
      <w:r>
        <w:t xml:space="preserve">Klage på 1., 2. og 3. gangs innkreving av tvangsmulkt</w:t>
      </w:r>
      <w:r>
        <w:br/>
      </w:r>
      <w:r>
        <w:rPr>
          <w:bCs/>
          <w:b/>
        </w:rPr>
        <w:t xml:space="preserve">Saksnumre:</w:t>
      </w:r>
      <w:r>
        <w:t xml:space="preserve"> </w:t>
      </w:r>
      <w:r>
        <w:t xml:space="preserve">24/1007-45, 24/1007-46, 24/1007-52</w:t>
      </w:r>
    </w:p>
    <w:p>
      <w:r>
        <w:pict>
          <v:rect style="width:0;height:1.5pt" o:hralign="center" o:hrstd="t" o:hr="t"/>
        </w:pict>
      </w:r>
    </w:p>
    <w:bookmarkStart w:id="20" w:name="innledning"/>
    <w:p>
      <w:pPr>
        <w:pStyle w:val="Heading2"/>
      </w:pPr>
      <w:r>
        <w:t xml:space="preserve">1. Innledning</w:t>
      </w:r>
    </w:p>
    <w:p>
      <w:pPr>
        <w:pStyle w:val="FirstParagraph"/>
      </w:pPr>
      <w:r>
        <w:t xml:space="preserve">Kodeworks Eiendom AS påklager med dette tre innkrevingsvedtak fattet av Trøndelag brann- og redningstjeneste IKS (TBRT):</w:t>
      </w:r>
    </w:p>
    <w:p>
      <w:pPr>
        <w:numPr>
          <w:ilvl w:val="0"/>
          <w:numId w:val="1001"/>
        </w:numPr>
        <w:pStyle w:val="Compact"/>
      </w:pPr>
      <w:r>
        <w:rPr>
          <w:bCs/>
          <w:b/>
        </w:rPr>
        <w:t xml:space="preserve">1. gangs innkreving</w:t>
      </w:r>
      <w:r>
        <w:t xml:space="preserve">, periode 01.03.2026–18.03.2026, kr 36 000 (sak 24/1007-45, sendt 19.03.2026)</w:t>
      </w:r>
    </w:p>
    <w:p>
      <w:pPr>
        <w:numPr>
          <w:ilvl w:val="0"/>
          <w:numId w:val="1001"/>
        </w:numPr>
        <w:pStyle w:val="Compact"/>
      </w:pPr>
      <w:r>
        <w:rPr>
          <w:bCs/>
          <w:b/>
        </w:rPr>
        <w:t xml:space="preserve">2. gangs innkreving</w:t>
      </w:r>
      <w:r>
        <w:t xml:space="preserve">, periode 19.03.2026–14.04.2026, kr 54 000 (sak 24/1007-46, sendt 17.04.2026)</w:t>
      </w:r>
    </w:p>
    <w:p>
      <w:pPr>
        <w:numPr>
          <w:ilvl w:val="0"/>
          <w:numId w:val="1001"/>
        </w:numPr>
        <w:pStyle w:val="Compact"/>
      </w:pPr>
      <w:r>
        <w:rPr>
          <w:bCs/>
          <w:b/>
        </w:rPr>
        <w:t xml:space="preserve">3. gangs innkreving</w:t>
      </w:r>
      <w:r>
        <w:t xml:space="preserve">, periode 15.04.2026–31.05.2026, kr 94 000 (sak 24/1007-52, sendt 03.06.2026)</w:t>
      </w:r>
    </w:p>
    <w:p>
      <w:pPr>
        <w:pStyle w:val="FirstParagraph"/>
      </w:pPr>
      <w:r>
        <w:t xml:space="preserve">Samlet innkrevd beløp:</w:t>
      </w:r>
      <w:r>
        <w:t xml:space="preserve"> </w:t>
      </w:r>
      <w:r>
        <w:rPr>
          <w:bCs/>
          <w:b/>
        </w:rPr>
        <w:t xml:space="preserve">kr 184 000</w:t>
      </w:r>
      <w:r>
        <w:t xml:space="preserve">.</w:t>
      </w:r>
    </w:p>
    <w:p>
      <w:pPr>
        <w:pStyle w:val="BodyText"/>
      </w:pPr>
      <w:r>
        <w:t xml:space="preserve">Klagen fremmes med hjemmel i forvaltningsloven § 51, 4. ledd, som gir særskilt klagerett på ileggelse av tvangsmulkt.</w:t>
      </w:r>
    </w:p>
    <w:p>
      <w:pPr>
        <w:pStyle w:val="BodyText"/>
      </w:pPr>
      <w:r>
        <w:t xml:space="preserve">Vi ber samtidig om utsatt iverksetting av samtlige innkrevinger, jf. forvaltningsloven § 42, inntil klagebehandlingen er avsluttet.</w:t>
      </w:r>
    </w:p>
    <w:p>
      <w:r>
        <w:pict>
          <v:rect style="width:0;height:1.5pt" o:hralign="center" o:hrstd="t" o:hr="t"/>
        </w:pict>
      </w:r>
    </w:p>
    <w:bookmarkEnd w:id="20"/>
    <w:bookmarkStart w:id="21" w:name="X444c3fd5cd87cbd7f003870386558301d70e0ed"/>
    <w:p>
      <w:pPr>
        <w:pStyle w:val="Heading2"/>
      </w:pPr>
      <w:r>
        <w:t xml:space="preserve">2. Klage på 3. gangs innkreving (sak 24/1007-52)</w:t>
      </w:r>
    </w:p>
    <w:p>
      <w:pPr>
        <w:pStyle w:val="FirstParagraph"/>
      </w:pPr>
      <w:r>
        <w:t xml:space="preserve">Klagefristen er 3 uker fra mottaksdato, jf. forvaltningsloven §§ 29 og 51, 4. ledd. 3. gangs innkreving ble sendt 03.06.2026. Denne klagen fremmes innen fristen.</w:t>
      </w:r>
    </w:p>
    <w:p>
      <w:r>
        <w:pict>
          <v:rect style="width:0;height:1.5pt" o:hralign="center" o:hrstd="t" o:hr="t"/>
        </w:pict>
      </w:r>
    </w:p>
    <w:bookmarkEnd w:id="21"/>
    <w:bookmarkStart w:id="22" w:name="X669b9629502032351f52b030be0893544e4f4a2"/>
    <w:p>
      <w:pPr>
        <w:pStyle w:val="Heading2"/>
      </w:pPr>
      <w:r>
        <w:t xml:space="preserve">3. Klage på 1. og 2. gangs innkreving – anmodning om behandling til tross for fristoverskridelse</w:t>
      </w:r>
    </w:p>
    <w:p>
      <w:pPr>
        <w:pStyle w:val="FirstParagraph"/>
      </w:pPr>
      <w:r>
        <w:t xml:space="preserve">Klagefristen for 1. gangs innkreving (mottatt 19.03.2026) utløp 09.04.2026. Klagefristen for 2. gangs innkreving (mottatt 17.04.2026) utløp 08.05.2026. Vi er kjent med at fristene er oversittet.</w:t>
      </w:r>
    </w:p>
    <w:p>
      <w:pPr>
        <w:pStyle w:val="BodyText"/>
      </w:pPr>
      <w:r>
        <w:t xml:space="preserve">Vi anmoder om at klagene likevel tas under behandling, jf. forvaltningsloven § 31, av følgende grunner:</w:t>
      </w:r>
    </w:p>
    <w:p>
      <w:pPr>
        <w:pStyle w:val="BodyText"/>
      </w:pPr>
      <w:r>
        <w:rPr>
          <w:bCs/>
          <w:b/>
        </w:rPr>
        <w:t xml:space="preserve">a) KodeWorks Eiendom AS kan ikke lastes for fristoverskridelsen</w:t>
      </w:r>
    </w:p>
    <w:p>
      <w:pPr>
        <w:pStyle w:val="BodyText"/>
      </w:pPr>
      <w:r>
        <w:t xml:space="preserve">I perioden fra mottak av 1. og 2. gangs innkreving og frem til levering av rammesøknad 12. mai 2026, var KodeWorks Eiendom AS’ fulle kapasitet rettet mot å ferdigstille og levere rammesøknaden – den faktiske løsningen på situasjonen. Å levere en substansiell juridisk klage innen 3 uker, mens man parallelt driver et komplekst rehabiliteringsprosjekt av et verneklasse B-bygg fra 1857 uten heltids juridisk stab, var ikke realistisk. TBRT har på sin side juridisk rådgiver i fast stilling. Den strukturelle asymmetrien tilsier at fristen bør praktiseres med rimelighet, jf. også EMK artikkel 6 om tilstrekkelig tid til å forberede forsvar.</w:t>
      </w:r>
    </w:p>
    <w:p>
      <w:pPr>
        <w:pStyle w:val="BodyText"/>
      </w:pPr>
      <w:r>
        <w:rPr>
          <w:bCs/>
          <w:b/>
        </w:rPr>
        <w:t xml:space="preserve">b) Det foreligger særlige grunner, jf. § 31 b)</w:t>
      </w:r>
    </w:p>
    <w:p>
      <w:pPr>
        <w:pStyle w:val="BodyText"/>
      </w:pPr>
      <w:r>
        <w:t xml:space="preserve">Rammesøknaden ble levert 12. mai 2026 – etter at begge de fristbrutte innkrevingsperiodene var avsluttet. Søknadens innlevering endret situasjonen vesentlig: prosjektet er nå konkret, i offentlig saksbehandling og ubestridelig i gang. Dette er ny faktisk informasjon som ikke forelå da fristene løp, og som er direkte relevant for forholdsmessighetsvurderingen av innkrevingene. Det er av særlige grunner rimelig at klagene prøves i lys av dette.</w:t>
      </w:r>
    </w:p>
    <w:p>
      <w:pPr>
        <w:pStyle w:val="BodyText"/>
      </w:pPr>
      <w:r>
        <w:rPr>
          <w:bCs/>
          <w:b/>
        </w:rPr>
        <w:t xml:space="preserve">c) Klagen er fremsatt uten ugrunnet opphold</w:t>
      </w:r>
    </w:p>
    <w:p>
      <w:pPr>
        <w:pStyle w:val="BodyText"/>
      </w:pPr>
      <w:r>
        <w:t xml:space="preserve">Denne klagen sendes umiddelbart etter at vi ble kjent med den rettslige muligheten til å klage på de enkelte ileggelsene, og senest innen fristen for 3. gangs innkreving.</w:t>
      </w:r>
    </w:p>
    <w:p>
      <w:pPr>
        <w:pStyle w:val="BodyText"/>
      </w:pPr>
      <w:r>
        <w:rPr>
          <w:bCs/>
          <w:b/>
        </w:rPr>
        <w:t xml:space="preserve">Subsidiær anmodning – omgjøring etter forvaltningsloven § 35</w:t>
      </w:r>
    </w:p>
    <w:p>
      <w:pPr>
        <w:pStyle w:val="BodyText"/>
      </w:pPr>
      <w:r>
        <w:t xml:space="preserve">Dersom klageinstansen ikke finner grunnlag for å behandle klagene på 1. og 2. gangs innkreving etter § 31, ber vi subsidiært om at TBRT omgjør disse vedtakene på eget initiativ etter forvaltningsloven § 35. Omgjøringen vil være til gunst for KodeWorks Eiendom AS og er ikke til skade for noen annen part. I møtet 11. juni 2026 signaliserte TBRT at de vil vurdere å sette videre innkreving i bero – det er vanskelig å begrunne velvilje fremover uten å revurdere de to allerede innkrevde periodene under de samme endrede omstendighetene.</w:t>
      </w:r>
    </w:p>
    <w:p>
      <w:r>
        <w:pict>
          <v:rect style="width:0;height:1.5pt" o:hralign="center" o:hrstd="t" o:hr="t"/>
        </w:pict>
      </w:r>
    </w:p>
    <w:bookmarkEnd w:id="22"/>
    <w:bookmarkStart w:id="29" w:name="materielle-anførsler"/>
    <w:p>
      <w:pPr>
        <w:pStyle w:val="Heading2"/>
      </w:pPr>
      <w:r>
        <w:t xml:space="preserve">4. Materielle anførsler</w:t>
      </w:r>
    </w:p>
    <w:p>
      <w:pPr>
        <w:pStyle w:val="FirstParagraph"/>
      </w:pPr>
      <w:r>
        <w:t xml:space="preserve">Følgende argumenter gjøres gjeldende for samtlige tre innkrevinger.</w:t>
      </w:r>
    </w:p>
    <w:bookmarkStart w:id="23" w:name="Xd60dc6d8fffc3fb17bc370deccf694bd1124279"/>
    <w:p>
      <w:pPr>
        <w:pStyle w:val="Heading3"/>
      </w:pPr>
      <w:r>
        <w:t xml:space="preserve">4.1 Rammesøknad er levert – prosjektet er reelt og i gang</w:t>
      </w:r>
    </w:p>
    <w:p>
      <w:pPr>
        <w:pStyle w:val="FirstParagraph"/>
      </w:pPr>
      <w:r>
        <w:t xml:space="preserve">Rammesøknad for ombygging av Fjordgata 30 til minilager ble levert til Plan og Bygg, Trondheim kommune, den</w:t>
      </w:r>
      <w:r>
        <w:t xml:space="preserve"> </w:t>
      </w:r>
      <w:r>
        <w:rPr>
          <w:bCs/>
          <w:b/>
        </w:rPr>
        <w:t xml:space="preserve">12. mai 2026</w:t>
      </w:r>
      <w:r>
        <w:t xml:space="preserve">. Dette er det mest tungtveiende argumentet for at tvangsmulkten ikke bør innkreves for perioden som dekkes av de tre ileggelsene.</w:t>
      </w:r>
    </w:p>
    <w:p>
      <w:pPr>
        <w:pStyle w:val="BodyText"/>
      </w:pPr>
      <w:r>
        <w:t xml:space="preserve">Rammesøknaden er utarbeidet av HRP AS og SAHAA arkitekter, basert på et brannkonsept som sikrer tilfredsstillende brannsikkerhet i ferdig bygg, inkludert fullsprinklet bygg inndelt i fire brannceller. Søknaden er basert på langvarig og dokumentert dialog med Plan og Bygg og Byantikvaren, og behandles uten forventede overraskelser.</w:t>
      </w:r>
    </w:p>
    <w:p>
      <w:pPr>
        <w:pStyle w:val="BodyText"/>
      </w:pPr>
      <w:r>
        <w:t xml:space="preserve">Innkrevingen av tvangsmulkt treffer en periode der det ikke var passivitet fra eiers side, men intensivt arbeid med å ferdigstille og levere den søknaden som er forutsetningen for lovlig gjennomføring av brannsikringen TBRT krever.</w:t>
      </w:r>
    </w:p>
    <w:bookmarkEnd w:id="23"/>
    <w:bookmarkStart w:id="24" w:name="faktafeil-i-3.-gangs-innkreving"/>
    <w:p>
      <w:pPr>
        <w:pStyle w:val="Heading3"/>
      </w:pPr>
      <w:r>
        <w:t xml:space="preserve">4.2 Faktafeil i 3. gangs innkreving</w:t>
      </w:r>
    </w:p>
    <w:p>
      <w:pPr>
        <w:pStyle w:val="FirstParagraph"/>
      </w:pPr>
      <w:r>
        <w:t xml:space="preserve">I 3. gangs innkreving (sak 24/1007-52) skriver TBRT: «Dere varslet oss den</w:t>
      </w:r>
      <w:r>
        <w:t xml:space="preserve"> </w:t>
      </w:r>
      <w:r>
        <w:rPr>
          <w:bCs/>
          <w:b/>
        </w:rPr>
        <w:t xml:space="preserve">11.05.2025</w:t>
      </w:r>
      <w:r>
        <w:t xml:space="preserve"> </w:t>
      </w:r>
      <w:r>
        <w:t xml:space="preserve">om at vi snarlig ville få tilsendt kopi av søknad om rammetillatelse, men dette har vi fortsatt ikke mottatt.»</w:t>
      </w:r>
    </w:p>
    <w:p>
      <w:pPr>
        <w:pStyle w:val="BodyText"/>
      </w:pPr>
      <w:r>
        <w:t xml:space="preserve">Årstallet er feil. Varselet ble gitt</w:t>
      </w:r>
      <w:r>
        <w:t xml:space="preserve"> </w:t>
      </w:r>
      <w:r>
        <w:rPr>
          <w:bCs/>
          <w:b/>
        </w:rPr>
        <w:t xml:space="preserve">11. mai 2026</w:t>
      </w:r>
      <w:r>
        <w:t xml:space="preserve"> </w:t>
      </w:r>
      <w:r>
        <w:t xml:space="preserve">– dagen før rammesøknaden ble levert. TBRT har skrevet 2025 i stedet for 2026. Konsekvensen av denne feilen er at innkrevingen fremstiller KodeWorks Eiendom AS som et selskap som ga tomme løfter om en rammesøknad for over ett år siden, når realiteten er at søknaden ble levert dagen etter varselet. Faktafeil i vedtakets grunnlag er en saksbehandlingsfeil, jf. forvaltningsloven §§ 17 og 41.</w:t>
      </w:r>
    </w:p>
    <w:bookmarkEnd w:id="24"/>
    <w:bookmarkStart w:id="25" w:name="Xd6707cec2bfeaab93670bd2b905048581ee74eb"/>
    <w:p>
      <w:pPr>
        <w:pStyle w:val="Heading3"/>
      </w:pPr>
      <w:r>
        <w:t xml:space="preserve">4.3 Sprinklerinstallasjon er rettslig umulig uten byggetillatelse og Byantikvarens godkjenning</w:t>
      </w:r>
    </w:p>
    <w:p>
      <w:pPr>
        <w:pStyle w:val="FirstParagraph"/>
      </w:pPr>
      <w:r>
        <w:t xml:space="preserve">Fjordgata 30 er klassifisert som</w:t>
      </w:r>
      <w:r>
        <w:t xml:space="preserve"> </w:t>
      </w:r>
      <w:r>
        <w:rPr>
          <w:bCs/>
          <w:b/>
        </w:rPr>
        <w:t xml:space="preserve">verneklasse B</w:t>
      </w:r>
      <w:r>
        <w:t xml:space="preserve"> </w:t>
      </w:r>
      <w:r>
        <w:t xml:space="preserve">i Trondheim kommunes arealplan. Dette innebærer at inngrep i bygningskroppen – herunder gjennomføring av sprinklerrør gjennom originale trekonstruksjoner, bjelkelag og vegger – er søknadspliktige tiltak som krever:</w:t>
      </w:r>
    </w:p>
    <w:p>
      <w:pPr>
        <w:numPr>
          <w:ilvl w:val="0"/>
          <w:numId w:val="1002"/>
        </w:numPr>
        <w:pStyle w:val="Compact"/>
      </w:pPr>
      <w:r>
        <w:t xml:space="preserve">Rammetillatelse og igangsettingstillatelse fra Plan og Bygg, jf. plan- og bygningsloven §§ 29-4 og 31-2</w:t>
      </w:r>
    </w:p>
    <w:p>
      <w:pPr>
        <w:numPr>
          <w:ilvl w:val="0"/>
          <w:numId w:val="1002"/>
        </w:numPr>
        <w:pStyle w:val="Compact"/>
      </w:pPr>
      <w:r>
        <w:t xml:space="preserve">Byantikvarens faglige godkjenning, ettersom Byantikvaren er obligatorisk høringsinstans for verneklasse B-bygg</w:t>
      </w:r>
    </w:p>
    <w:p>
      <w:pPr>
        <w:pStyle w:val="FirstParagraph"/>
      </w:pPr>
      <w:r>
        <w:t xml:space="preserve">Byantikvaren har gitt 500 000 kr i tilskudd til rehabiliteringsprosjektet og er en aktiv støttespiller. Godkjenning av konkrete inngrep i bygningskroppen må likevel behandles som del av den samlede byggesaken.</w:t>
      </w:r>
    </w:p>
    <w:p>
      <w:pPr>
        <w:pStyle w:val="BodyText"/>
      </w:pPr>
      <w:r>
        <w:t xml:space="preserve">TBRT har i sine vedtak ikke drøftet dette rettslige forholdet. I stedet har TBRT konsekvent lagt til grunn at sprinklerinstallasjon kan gjennomføres umiddelbart og uavhengig av pågående byggesaksbehandling. Dette er feil. KodeWorks Eiendom AS kan ikke etterkomme TBRTs pålegg uten å bryte plan- og bygningslovens krav om byggetillatelse. TBRT setter eier i en umulig situasjon der to offentlige myndigheters krav ikke kan etterleves simultant.</w:t>
      </w:r>
    </w:p>
    <w:bookmarkEnd w:id="25"/>
    <w:bookmarkStart w:id="26" w:name="X52af37bcc464482babf28a6b69782784c1d2587"/>
    <w:p>
      <w:pPr>
        <w:pStyle w:val="Heading3"/>
      </w:pPr>
      <w:r>
        <w:t xml:space="preserve">4.4 Alternativ risikobasert tilnærming er ikke vurdert</w:t>
      </w:r>
    </w:p>
    <w:p>
      <w:pPr>
        <w:pStyle w:val="FirstParagraph"/>
      </w:pPr>
      <w:r>
        <w:t xml:space="preserve">Forskrift om brannforebygging § 6 åpner eksplisitt for at eiere av eldre byggverk, der full etterlevelse av moderne tekniske krav ikke er mulig, kan dokumentere tilfredsstillende sikkerhetsnivå gjennom kompenserende risikoreduserende tiltak. Fjordgata 30 er et bygg fra 1857 i verneklasse B der full TEK17-etterlevelse ikke er mulig uten å skade de antikvariske verdiene.</w:t>
      </w:r>
    </w:p>
    <w:p>
      <w:pPr>
        <w:pStyle w:val="BodyText"/>
      </w:pPr>
      <w:r>
        <w:t xml:space="preserve">TBRTs vedtak om tvangsmulkt og samtlige innkrevinger er fattet uten at det fremgår at § 6 har vært drøftet. KodeWorks Eiendom AS har levert brannsikringsplan for byggefasen utarbeidet av HRP, og det foreligger brannkonsept for ferdig bygg. Dette er dokumentert risikobasert tilnærming som TBRT plikter å vurdere konkret.</w:t>
      </w:r>
    </w:p>
    <w:bookmarkEnd w:id="26"/>
    <w:bookmarkStart w:id="27" w:name="X080ccec4e89a4aaf9586d28e5b4362cb9bd57f8"/>
    <w:p>
      <w:pPr>
        <w:pStyle w:val="Heading3"/>
      </w:pPr>
      <w:r>
        <w:t xml:space="preserve">4.5 Tvangsmulkten er uforholdsmessig og kan hindre brannsikkerhetsoppgraderingen</w:t>
      </w:r>
    </w:p>
    <w:p>
      <w:pPr>
        <w:pStyle w:val="FirstParagraph"/>
      </w:pPr>
      <w:r>
        <w:t xml:space="preserve">Tvangsmulkt er et pressmiddel for å fremtvinge etterlevelse, ikke en straff. Forholdsmessighetsprinsippet, som er bindende for all norsk forvaltning, krever at inngrepet ikke er mer tyngende enn nødvendig for å oppnå formålet.</w:t>
      </w:r>
    </w:p>
    <w:p>
      <w:pPr>
        <w:pStyle w:val="BodyText"/>
      </w:pPr>
      <w:r>
        <w:t xml:space="preserve">En løpende mulkt på kr 2 000 per dag – kr 730 000 per år – treffer et prosjekt der:</w:t>
      </w:r>
    </w:p>
    <w:p>
      <w:pPr>
        <w:numPr>
          <w:ilvl w:val="0"/>
          <w:numId w:val="1003"/>
        </w:numPr>
        <w:pStyle w:val="Compact"/>
      </w:pPr>
      <w:r>
        <w:t xml:space="preserve">Eier aktivt rehabiliterer bygget med innvilgede offentlige tilskudd (Kulturminnefondet, Byantikvaren, Enova)</w:t>
      </w:r>
    </w:p>
    <w:p>
      <w:pPr>
        <w:numPr>
          <w:ilvl w:val="0"/>
          <w:numId w:val="1003"/>
        </w:numPr>
        <w:pStyle w:val="Compact"/>
      </w:pPr>
      <w:r>
        <w:t xml:space="preserve">Rammesøknad er levert og under behandling</w:t>
      </w:r>
    </w:p>
    <w:p>
      <w:pPr>
        <w:numPr>
          <w:ilvl w:val="0"/>
          <w:numId w:val="1003"/>
        </w:numPr>
        <w:pStyle w:val="Compact"/>
      </w:pPr>
      <w:r>
        <w:t xml:space="preserve">Alle avvik bortsett fra sprinkler er lukket og bekreftet av TBRT selv i saksfremlegget 16.09.2025</w:t>
      </w:r>
    </w:p>
    <w:p>
      <w:pPr>
        <w:numPr>
          <w:ilvl w:val="0"/>
          <w:numId w:val="1003"/>
        </w:numPr>
        <w:pStyle w:val="Compact"/>
      </w:pPr>
      <w:r>
        <w:t xml:space="preserve">Driften i bygget avvikles, med siste leietakere ut innen 01.07.2026</w:t>
      </w:r>
    </w:p>
    <w:p>
      <w:pPr>
        <w:pStyle w:val="FirstParagraph"/>
      </w:pPr>
      <w:r>
        <w:t xml:space="preserve">En tvangsmulkt i dette omfanget kan velte prosjektøkonomien og dermed hindre den brannsikkerhetsoppgraderingen TBRT selv krever. Det er et paradoksalt og urimelig resultat som ikke kan ha vært tilsiktet av lovgiver, jf. brann- og eksplosjonsvernloven § 39.</w:t>
      </w:r>
    </w:p>
    <w:p>
      <w:pPr>
        <w:pStyle w:val="BodyText"/>
      </w:pPr>
      <w:r>
        <w:t xml:space="preserve">Dette er også et inngrep i eiendomsretten som for å være forholdsmessig må stå i rimelig forhold til det legitime formålet, jf. EMK tilleggsprotokoll 1 artikkel 1.</w:t>
      </w:r>
    </w:p>
    <w:bookmarkEnd w:id="27"/>
    <w:bookmarkStart w:id="28" w:name="X6a2226d29444a81fc5bd738b662200817843fd5"/>
    <w:p>
      <w:pPr>
        <w:pStyle w:val="Heading3"/>
      </w:pPr>
      <w:r>
        <w:t xml:space="preserve">4.6 KodeWorks Eiendom AS har vært i aktiv og dokumentert dialog gjennom hele perioden</w:t>
      </w:r>
    </w:p>
    <w:p>
      <w:pPr>
        <w:pStyle w:val="FirstParagraph"/>
      </w:pPr>
      <w:r>
        <w:t xml:space="preserve">Tvangsmulktens formål – å forhindre at oppgraderingsprosessen stopper opp – er ikke relevant for den situasjon som faktisk har foreligget. KodeWorks Eiendom AS har gjennom hele perioden vært i aktiv og dokumentert dialog med TBRT:</w:t>
      </w:r>
    </w:p>
    <w:p>
      <w:pPr>
        <w:numPr>
          <w:ilvl w:val="0"/>
          <w:numId w:val="1004"/>
        </w:numPr>
        <w:pStyle w:val="Compact"/>
      </w:pPr>
      <w:r>
        <w:t xml:space="preserve">Statusmøter avholdt 28.04.2025 og 11.06.2026</w:t>
      </w:r>
    </w:p>
    <w:p>
      <w:pPr>
        <w:numPr>
          <w:ilvl w:val="0"/>
          <w:numId w:val="1004"/>
        </w:numPr>
        <w:pStyle w:val="Compact"/>
      </w:pPr>
      <w:r>
        <w:t xml:space="preserve">Statusbrev sendt 30.12.2025 og 27.02.2026</w:t>
      </w:r>
    </w:p>
    <w:p>
      <w:pPr>
        <w:numPr>
          <w:ilvl w:val="0"/>
          <w:numId w:val="1004"/>
        </w:numPr>
        <w:pStyle w:val="Compact"/>
      </w:pPr>
      <w:r>
        <w:t xml:space="preserve">Telefonsamtale 06.03.2026 og e-post 13.03.2026</w:t>
      </w:r>
    </w:p>
    <w:p>
      <w:pPr>
        <w:numPr>
          <w:ilvl w:val="0"/>
          <w:numId w:val="1004"/>
        </w:numPr>
        <w:pStyle w:val="Compact"/>
      </w:pPr>
      <w:r>
        <w:t xml:space="preserve">Uformelt varsel 11.05.2026 om at rammesøknad var klar</w:t>
      </w:r>
    </w:p>
    <w:p>
      <w:pPr>
        <w:numPr>
          <w:ilvl w:val="0"/>
          <w:numId w:val="1004"/>
        </w:numPr>
        <w:pStyle w:val="Compact"/>
      </w:pPr>
      <w:r>
        <w:t xml:space="preserve">Rammesøknad levert 12.05.2026</w:t>
      </w:r>
    </w:p>
    <w:p>
      <w:pPr>
        <w:pStyle w:val="FirstParagraph"/>
      </w:pPr>
      <w:r>
        <w:t xml:space="preserve">Det er ikke grunnlag for å behandle KodeWorks Eiendom AS som et selskap som ignorerer sine forpliktelser.</w:t>
      </w:r>
    </w:p>
    <w:p>
      <w:r>
        <w:pict>
          <v:rect style="width:0;height:1.5pt" o:hralign="center" o:hrstd="t" o:hr="t"/>
        </w:pict>
      </w:r>
    </w:p>
    <w:bookmarkEnd w:id="28"/>
    <w:bookmarkEnd w:id="29"/>
    <w:bookmarkStart w:id="30" w:name="anmodning-om-utsatt-iverksetting"/>
    <w:p>
      <w:pPr>
        <w:pStyle w:val="Heading2"/>
      </w:pPr>
      <w:r>
        <w:t xml:space="preserve">5. Anmodning om utsatt iverksetting</w:t>
      </w:r>
    </w:p>
    <w:p>
      <w:pPr>
        <w:pStyle w:val="FirstParagraph"/>
      </w:pPr>
      <w:r>
        <w:t xml:space="preserve">Vi ber om at iverksettingen av alle tre innkrevingsvedtakene utsettes inntil klagebehandlingen er avsluttet, jf. forvaltningsloven § 42. Dersom innkrevingen videresendes til namsmyndigheten før klagen er behandlet, kan det medføre tvangsdekning i eiendommen som i verste fall stopper rehabiliteringsprosjektet. Dette er ikke i noen parts interesse.</w:t>
      </w:r>
    </w:p>
    <w:p>
      <w:r>
        <w:pict>
          <v:rect style="width:0;height:1.5pt" o:hralign="center" o:hrstd="t" o:hr="t"/>
        </w:pict>
      </w:r>
    </w:p>
    <w:bookmarkEnd w:id="30"/>
    <w:bookmarkStart w:id="31" w:name="påstand"/>
    <w:p>
      <w:pPr>
        <w:pStyle w:val="Heading2"/>
      </w:pPr>
      <w:r>
        <w:t xml:space="preserve">6. Påstand</w:t>
      </w:r>
    </w:p>
    <w:p>
      <w:pPr>
        <w:pStyle w:val="FirstParagraph"/>
      </w:pPr>
      <w:r>
        <w:t xml:space="preserve">Vi nedlegger følgende påstand:</w:t>
      </w:r>
    </w:p>
    <w:p>
      <w:pPr>
        <w:numPr>
          <w:ilvl w:val="0"/>
          <w:numId w:val="1005"/>
        </w:numPr>
        <w:pStyle w:val="Compact"/>
      </w:pPr>
      <w:r>
        <w:t xml:space="preserve">Klage på 3. gangs innkreving (sak 24/1007-52, kr 94 000) tas til følge, og innkrevingen frafalles.</w:t>
      </w:r>
    </w:p>
    <w:p>
      <w:pPr>
        <w:numPr>
          <w:ilvl w:val="0"/>
          <w:numId w:val="1005"/>
        </w:numPr>
        <w:pStyle w:val="Compact"/>
      </w:pPr>
      <w:r>
        <w:t xml:space="preserve">Klage på 1. gangs innkreving (sak 24/1007-45, kr 36 000) og 2. gangs innkreving (sak 24/1007-46, kr 54 000) behandles til tross for fristoverskridelse, jf. forvaltningsloven § 31, og innkrevingene frafalles.</w:t>
      </w:r>
    </w:p>
    <w:p>
      <w:pPr>
        <w:numPr>
          <w:ilvl w:val="0"/>
          <w:numId w:val="1005"/>
        </w:numPr>
        <w:pStyle w:val="Compact"/>
      </w:pPr>
      <w:r>
        <w:t xml:space="preserve">Subsidiært: TBRT omgjør 1. og 2. gangs innkreving etter forvaltningsloven § 35.</w:t>
      </w:r>
    </w:p>
    <w:p>
      <w:pPr>
        <w:numPr>
          <w:ilvl w:val="0"/>
          <w:numId w:val="1005"/>
        </w:numPr>
        <w:pStyle w:val="Compact"/>
      </w:pPr>
      <w:r>
        <w:t xml:space="preserve">Iverksettingen av samtlige tre innkrevinger utsettes mens klagebehandlingen pågår, jf. forvaltningsloven § 42.</w:t>
      </w:r>
    </w:p>
    <w:p>
      <w:pPr>
        <w:numPr>
          <w:ilvl w:val="0"/>
          <w:numId w:val="1005"/>
        </w:numPr>
        <w:pStyle w:val="Compact"/>
      </w:pPr>
      <w:r>
        <w:t xml:space="preserve">Dersom vedtakene endres til vår fordel, krever vi dekning av sakskostnader, jf. forvaltningsloven § 36.</w:t>
      </w:r>
    </w:p>
    <w:p>
      <w:pPr>
        <w:pStyle w:val="FirstParagraph"/>
      </w:pPr>
      <w:r>
        <w:t xml:space="preserve">Vi stiller gjerne til møte for utdyping og dialog.</w:t>
      </w:r>
    </w:p>
    <w:p>
      <w:pPr>
        <w:pStyle w:val="BodyText"/>
      </w:pPr>
      <w:r>
        <w:t xml:space="preserve">Med vennlig hilsen</w:t>
      </w:r>
    </w:p>
    <w:p>
      <w:pPr>
        <w:pStyle w:val="BodyText"/>
      </w:pPr>
      <w:r>
        <w:rPr>
          <w:bCs/>
          <w:b/>
        </w:rPr>
        <w:t xml:space="preserve">Eirik Larsen</w:t>
      </w:r>
      <w:r>
        <w:br/>
      </w:r>
      <w:r>
        <w:t xml:space="preserve">På vegne av Kodeworks Eiendom AS</w:t>
      </w:r>
      <w:r>
        <w:br/>
      </w:r>
      <w:r>
        <w:t xml:space="preserve">Fjordgata 30, 7010 Trondheim</w:t>
      </w:r>
      <w:r>
        <w:br/>
      </w:r>
      <w:r>
        <w:t xml:space="preserve">Telefon: 416 70 269</w:t>
      </w:r>
      <w:r>
        <w:br/>
      </w:r>
      <w:r>
        <w:t xml:space="preserve">E-post: eirik.larsen@kodeworks.no</w:t>
      </w:r>
    </w:p>
    <w:p>
      <w:r>
        <w:pict>
          <v:rect style="width:0;height:1.5pt" o:hralign="center" o:hrstd="t" o:hr="t"/>
        </w:pict>
      </w:r>
    </w:p>
    <w:p>
      <w:pPr>
        <w:pStyle w:val="FirstParagraph"/>
      </w:pPr>
      <w:r>
        <w:rPr>
          <w:iCs/>
          <w:i/>
        </w:rPr>
        <w:t xml:space="preserve">Vedlegg:</w:t>
      </w:r>
    </w:p>
    <w:p>
      <w:pPr>
        <w:numPr>
          <w:ilvl w:val="0"/>
          <w:numId w:val="1006"/>
        </w:numPr>
        <w:pStyle w:val="Compact"/>
      </w:pPr>
      <w:r>
        <w:rPr>
          <w:iCs/>
          <w:i/>
        </w:rPr>
        <w:t xml:space="preserve">Rammesøknad for minilager, levert 12.05.2026 (kopi)</w:t>
      </w:r>
    </w:p>
    <w:p>
      <w:pPr>
        <w:numPr>
          <w:ilvl w:val="0"/>
          <w:numId w:val="1006"/>
        </w:numPr>
        <w:pStyle w:val="Compact"/>
      </w:pPr>
      <w:r>
        <w:rPr>
          <w:iCs/>
          <w:i/>
        </w:rPr>
        <w:t xml:space="preserve">Referat fra statusmøte med TBRT 11.06.2026</w:t>
      </w:r>
    </w:p>
    <w:p>
      <w:pPr>
        <w:numPr>
          <w:ilvl w:val="0"/>
          <w:numId w:val="1006"/>
        </w:numPr>
        <w:pStyle w:val="Compact"/>
      </w:pPr>
      <w:r>
        <w:rPr>
          <w:iCs/>
          <w:i/>
        </w:rPr>
        <w:t xml:space="preserve">Brannsikringsplan for byggefasen (HRP, februar 2026)</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 på innkreving av tvangsmulkt – Fjordgata 30 – sak 24/1007</dc:title>
  <dc:creator/>
  <cp:keywords/>
  <dcterms:created xsi:type="dcterms:W3CDTF">2026-06-17T19:45:08Z</dcterms:created>
  <dcterms:modified xsi:type="dcterms:W3CDTF">2026-06-17T19:45:08Z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 juni 2026</vt:lpwstr>
  </property>
</Properties>
</file>